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56" w:lineRule="exact"/>
        <w:rPr>
          <w:rFonts w:ascii="Times New Roman" w:cs="Times New Roman" w:eastAsia="Times New Roman" w:hAnsi="Times New Roman"/>
          <w:sz w:val="18"/>
          <w:szCs w:val="18"/>
          <w:color w:val="auto"/>
        </w:rPr>
      </w:pPr>
    </w:p>
    <w:p>
      <w:pPr>
        <w:ind w:left="4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b w:val="1"/>
          <w:bCs w:val="1"/>
          <w:u w:val="single" w:color="auto"/>
          <w:color w:val="auto"/>
        </w:rPr>
        <w:t>January 3, 2010</w:t>
      </w:r>
    </w:p>
    <w:p>
      <w:pPr>
        <w:spacing w:after="0" w:line="171" w:lineRule="exact"/>
        <w:rPr>
          <w:rFonts w:ascii="Times New Roman" w:cs="Times New Roman" w:eastAsia="Times New Roman" w:hAnsi="Times New Roman"/>
          <w:sz w:val="18"/>
          <w:szCs w:val="18"/>
          <w:color w:val="auto"/>
        </w:rPr>
      </w:pPr>
    </w:p>
    <w:p>
      <w:pPr>
        <w:ind w:left="5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w:t>
      </w:r>
    </w:p>
    <w:p>
      <w:pPr>
        <w:spacing w:after="0" w:line="214"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w:t>
      </w:r>
    </w:p>
    <w:p>
      <w:pPr>
        <w:spacing w:after="0" w:line="169"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 File Number 001-32242</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399"/>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20" w:type="dxa"/>
            <w:vAlign w:val="bottom"/>
            <w:gridSpan w:val="4"/>
          </w:tcPr>
          <w:p>
            <w:pPr>
              <w:jc w:val="center"/>
              <w:ind w:right="1560"/>
              <w:spacing w:after="0"/>
              <w:rPr>
                <w:sz w:val="20"/>
                <w:szCs w:val="20"/>
                <w:color w:val="auto"/>
              </w:rPr>
            </w:pPr>
            <w:r>
              <w:rPr>
                <w:rFonts w:ascii="Times New Roman" w:cs="Times New Roman" w:eastAsia="Times New Roman" w:hAnsi="Times New Roman"/>
                <w:sz w:val="32"/>
                <w:szCs w:val="32"/>
                <w:b w:val="1"/>
                <w:bCs w:val="1"/>
                <w:color w:val="auto"/>
              </w:rPr>
              <w:t>Domino’s Pizza, Inc.</w:t>
            </w:r>
          </w:p>
        </w:tc>
        <w:tc>
          <w:tcPr>
            <w:tcW w:w="780" w:type="dxa"/>
            <w:vAlign w:val="bottom"/>
          </w:tcPr>
          <w:p>
            <w:pPr>
              <w:spacing w:after="0"/>
              <w:rPr>
                <w:sz w:val="24"/>
                <w:szCs w:val="24"/>
                <w:color w:val="auto"/>
              </w:rPr>
            </w:pPr>
          </w:p>
        </w:tc>
      </w:tr>
      <w:tr>
        <w:trPr>
          <w:trHeight w:val="174"/>
        </w:trPr>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720" w:type="dxa"/>
            <w:vAlign w:val="bottom"/>
            <w:gridSpan w:val="4"/>
          </w:tcPr>
          <w:p>
            <w:pPr>
              <w:jc w:val="center"/>
              <w:ind w:right="1580"/>
              <w:spacing w:after="0"/>
              <w:rPr>
                <w:sz w:val="20"/>
                <w:szCs w:val="20"/>
                <w:color w:val="auto"/>
              </w:rPr>
            </w:pPr>
            <w:r>
              <w:rPr>
                <w:rFonts w:ascii="Times New Roman" w:cs="Times New Roman" w:eastAsia="Times New Roman" w:hAnsi="Times New Roman"/>
                <w:sz w:val="14"/>
                <w:szCs w:val="14"/>
                <w:color w:val="auto"/>
                <w:w w:val="96"/>
              </w:rPr>
              <w:t>(Exact name of registrant as specified in its charter)</w:t>
            </w:r>
          </w:p>
        </w:tc>
        <w:tc>
          <w:tcPr>
            <w:tcW w:w="780" w:type="dxa"/>
            <w:vAlign w:val="bottom"/>
          </w:tcPr>
          <w:p>
            <w:pPr>
              <w:spacing w:after="0"/>
              <w:rPr>
                <w:sz w:val="15"/>
                <w:szCs w:val="15"/>
                <w:color w:val="auto"/>
              </w:rPr>
            </w:pPr>
          </w:p>
        </w:tc>
      </w:tr>
      <w:tr>
        <w:trPr>
          <w:trHeight w:val="393"/>
        </w:trPr>
        <w:tc>
          <w:tcPr>
            <w:tcW w:w="1380" w:type="dxa"/>
            <w:vAlign w:val="bottom"/>
          </w:tcPr>
          <w:p>
            <w:pPr>
              <w:spacing w:after="0"/>
              <w:rPr>
                <w:sz w:val="24"/>
                <w:szCs w:val="24"/>
                <w:color w:val="auto"/>
              </w:rPr>
            </w:pPr>
          </w:p>
        </w:tc>
        <w:tc>
          <w:tcPr>
            <w:tcW w:w="2760" w:type="dxa"/>
            <w:vAlign w:val="bottom"/>
            <w:gridSpan w:val="2"/>
          </w:tcPr>
          <w:p>
            <w:pPr>
              <w:jc w:val="center"/>
              <w:ind w:left="119"/>
              <w:spacing w:after="0"/>
              <w:rPr>
                <w:sz w:val="20"/>
                <w:szCs w:val="20"/>
                <w:color w:val="auto"/>
              </w:rPr>
            </w:pPr>
            <w:r>
              <w:rPr>
                <w:rFonts w:ascii="Times New Roman" w:cs="Times New Roman" w:eastAsia="Times New Roman" w:hAnsi="Times New Roman"/>
                <w:sz w:val="18"/>
                <w:szCs w:val="18"/>
                <w:b w:val="1"/>
                <w:bCs w:val="1"/>
                <w:color w:val="auto"/>
                <w:w w:val="94"/>
              </w:rPr>
              <w:t>DELAWARE</w:t>
            </w:r>
          </w:p>
        </w:tc>
        <w:tc>
          <w:tcPr>
            <w:tcW w:w="5500" w:type="dxa"/>
            <w:vAlign w:val="bottom"/>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9"/>
        </w:trPr>
        <w:tc>
          <w:tcPr>
            <w:tcW w:w="1380" w:type="dxa"/>
            <w:vAlign w:val="bottom"/>
          </w:tcPr>
          <w:p>
            <w:pPr>
              <w:spacing w:after="0"/>
              <w:rPr>
                <w:sz w:val="12"/>
                <w:szCs w:val="12"/>
                <w:color w:val="auto"/>
              </w:rPr>
            </w:pPr>
          </w:p>
        </w:tc>
        <w:tc>
          <w:tcPr>
            <w:tcW w:w="2760" w:type="dxa"/>
            <w:vAlign w:val="bottom"/>
            <w:gridSpan w:val="2"/>
          </w:tcPr>
          <w:p>
            <w:pPr>
              <w:jc w:val="center"/>
              <w:ind w:left="119"/>
              <w:spacing w:after="0" w:line="149" w:lineRule="exact"/>
              <w:rPr>
                <w:sz w:val="20"/>
                <w:szCs w:val="20"/>
                <w:color w:val="auto"/>
              </w:rPr>
            </w:pPr>
            <w:r>
              <w:rPr>
                <w:rFonts w:ascii="Times New Roman" w:cs="Times New Roman" w:eastAsia="Times New Roman" w:hAnsi="Times New Roman"/>
                <w:sz w:val="14"/>
                <w:szCs w:val="14"/>
                <w:color w:val="auto"/>
                <w:w w:val="95"/>
              </w:rPr>
              <w:t>(State or other jurisdiction of</w:t>
            </w:r>
          </w:p>
        </w:tc>
        <w:tc>
          <w:tcPr>
            <w:tcW w:w="2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60" w:type="dxa"/>
            <w:vAlign w:val="bottom"/>
            <w:gridSpan w:val="3"/>
          </w:tcPr>
          <w:p>
            <w:pPr>
              <w:jc w:val="center"/>
              <w:ind w:right="25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4"/>
        </w:trPr>
        <w:tc>
          <w:tcPr>
            <w:tcW w:w="1380" w:type="dxa"/>
            <w:vAlign w:val="bottom"/>
          </w:tcPr>
          <w:p>
            <w:pPr>
              <w:spacing w:after="0"/>
              <w:rPr>
                <w:sz w:val="15"/>
                <w:szCs w:val="15"/>
                <w:color w:val="auto"/>
              </w:rPr>
            </w:pPr>
          </w:p>
        </w:tc>
        <w:tc>
          <w:tcPr>
            <w:tcW w:w="27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color w:val="auto"/>
                <w:w w:val="95"/>
              </w:rPr>
              <w:t>incorporation or organization)</w:t>
            </w:r>
          </w:p>
        </w:tc>
        <w:tc>
          <w:tcPr>
            <w:tcW w:w="2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gridSpan w:val="3"/>
          </w:tcPr>
          <w:p>
            <w:pPr>
              <w:jc w:val="center"/>
              <w:ind w:right="252"/>
              <w:spacing w:after="0"/>
              <w:rPr>
                <w:sz w:val="20"/>
                <w:szCs w:val="20"/>
                <w:color w:val="auto"/>
              </w:rPr>
            </w:pPr>
            <w:r>
              <w:rPr>
                <w:rFonts w:ascii="Times New Roman" w:cs="Times New Roman" w:eastAsia="Times New Roman" w:hAnsi="Times New Roman"/>
                <w:sz w:val="14"/>
                <w:szCs w:val="14"/>
                <w:color w:val="auto"/>
                <w:w w:val="96"/>
              </w:rPr>
              <w:t>Identification number)</w:t>
            </w:r>
          </w:p>
        </w:tc>
      </w:tr>
      <w:tr>
        <w:trPr>
          <w:trHeight w:val="416"/>
        </w:trPr>
        <w:tc>
          <w:tcPr>
            <w:tcW w:w="1380" w:type="dxa"/>
            <w:vAlign w:val="bottom"/>
          </w:tcPr>
          <w:p>
            <w:pPr>
              <w:spacing w:after="0"/>
              <w:rPr>
                <w:sz w:val="24"/>
                <w:szCs w:val="24"/>
                <w:color w:val="auto"/>
              </w:rPr>
            </w:pPr>
          </w:p>
        </w:tc>
        <w:tc>
          <w:tcPr>
            <w:tcW w:w="276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w w:val="97"/>
              </w:rPr>
              <w:t>30 Frank Lloyd Wright Drive</w:t>
            </w: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3"/>
        </w:trPr>
        <w:tc>
          <w:tcPr>
            <w:tcW w:w="1380" w:type="dxa"/>
            <w:vAlign w:val="bottom"/>
          </w:tcPr>
          <w:p>
            <w:pPr>
              <w:spacing w:after="0"/>
              <w:rPr>
                <w:sz w:val="20"/>
                <w:szCs w:val="20"/>
                <w:color w:val="auto"/>
              </w:rPr>
            </w:pPr>
          </w:p>
        </w:tc>
        <w:tc>
          <w:tcPr>
            <w:tcW w:w="276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w w:val="96"/>
              </w:rPr>
              <w:t>Ann Arbor, Michigan</w:t>
            </w:r>
          </w:p>
        </w:tc>
        <w:tc>
          <w:tcPr>
            <w:tcW w:w="5500" w:type="dxa"/>
            <w:vAlign w:val="bottom"/>
            <w:gridSpan w:val="5"/>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48106</w:t>
            </w:r>
          </w:p>
        </w:tc>
      </w:tr>
      <w:tr>
        <w:trPr>
          <w:trHeight w:val="174"/>
        </w:trPr>
        <w:tc>
          <w:tcPr>
            <w:tcW w:w="1380" w:type="dxa"/>
            <w:vAlign w:val="bottom"/>
          </w:tcPr>
          <w:p>
            <w:pPr>
              <w:spacing w:after="0"/>
              <w:rPr>
                <w:sz w:val="15"/>
                <w:szCs w:val="15"/>
                <w:color w:val="auto"/>
              </w:rPr>
            </w:pPr>
          </w:p>
        </w:tc>
        <w:tc>
          <w:tcPr>
            <w:tcW w:w="27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color w:val="auto"/>
                <w:w w:val="96"/>
              </w:rPr>
              <w:t>(Address of principal executive offices)</w:t>
            </w:r>
          </w:p>
        </w:tc>
        <w:tc>
          <w:tcPr>
            <w:tcW w:w="2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gridSpan w:val="3"/>
          </w:tcPr>
          <w:p>
            <w:pPr>
              <w:jc w:val="center"/>
              <w:ind w:right="272"/>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63"/>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 (734) 930-3030</w:t>
            </w:r>
          </w:p>
        </w:tc>
        <w:tc>
          <w:tcPr>
            <w:tcW w:w="78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Exchange Act:</w:t>
            </w:r>
          </w:p>
        </w:tc>
        <w:tc>
          <w:tcPr>
            <w:tcW w:w="780" w:type="dxa"/>
            <w:vAlign w:val="bottom"/>
          </w:tcPr>
          <w:p>
            <w:pPr>
              <w:spacing w:after="0"/>
              <w:rPr>
                <w:sz w:val="24"/>
                <w:szCs w:val="24"/>
                <w:color w:val="auto"/>
              </w:rPr>
            </w:pPr>
          </w:p>
        </w:tc>
      </w:tr>
      <w:tr>
        <w:trPr>
          <w:trHeight w:val="380"/>
        </w:trPr>
        <w:tc>
          <w:tcPr>
            <w:tcW w:w="13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5"/>
              </w:rPr>
              <w:t>Title of each class:</w:t>
            </w:r>
          </w:p>
        </w:tc>
        <w:tc>
          <w:tcPr>
            <w:tcW w:w="1440" w:type="dxa"/>
            <w:vAlign w:val="bottom"/>
          </w:tcPr>
          <w:p>
            <w:pPr>
              <w:spacing w:after="0"/>
              <w:rPr>
                <w:sz w:val="24"/>
                <w:szCs w:val="24"/>
                <w:color w:val="auto"/>
              </w:rPr>
            </w:pPr>
          </w:p>
        </w:tc>
        <w:tc>
          <w:tcPr>
            <w:tcW w:w="5500" w:type="dxa"/>
            <w:vAlign w:val="bottom"/>
            <w:gridSpan w:val="5"/>
          </w:tcPr>
          <w:p>
            <w:pPr>
              <w:jc w:val="center"/>
              <w:ind w:left="2241"/>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r>
      <w:tr>
        <w:trPr>
          <w:trHeight w:val="330"/>
        </w:trPr>
        <w:tc>
          <w:tcPr>
            <w:tcW w:w="13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Domino’s Pizza, Inc.</w:t>
            </w:r>
          </w:p>
        </w:tc>
        <w:tc>
          <w:tcPr>
            <w:tcW w:w="2340" w:type="dxa"/>
            <w:vAlign w:val="bottom"/>
          </w:tcPr>
          <w:p>
            <w:pPr>
              <w:spacing w:after="0"/>
              <w:rPr>
                <w:sz w:val="24"/>
                <w:szCs w:val="24"/>
                <w:color w:val="auto"/>
              </w:rPr>
            </w:pPr>
          </w:p>
        </w:tc>
        <w:tc>
          <w:tcPr>
            <w:tcW w:w="3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28"/>
        </w:trPr>
        <w:tc>
          <w:tcPr>
            <w:tcW w:w="138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53"/>
        </w:trPr>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 xml:space="preserve">Securities registered pursuant to Section 12(g) of the Exchange Act: </w:t>
            </w:r>
            <w:r>
              <w:rPr>
                <w:rFonts w:ascii="Times New Roman" w:cs="Times New Roman" w:eastAsia="Times New Roman" w:hAnsi="Times New Roman"/>
                <w:sz w:val="18"/>
                <w:szCs w:val="18"/>
                <w:color w:val="auto"/>
                <w:w w:val="97"/>
              </w:rPr>
              <w:t>None</w:t>
            </w:r>
          </w:p>
        </w:tc>
        <w:tc>
          <w:tcPr>
            <w:tcW w:w="780" w:type="dxa"/>
            <w:vAlign w:val="bottom"/>
          </w:tcPr>
          <w:p>
            <w:pPr>
              <w:spacing w:after="0"/>
              <w:rPr>
                <w:sz w:val="24"/>
                <w:szCs w:val="24"/>
                <w:color w:val="auto"/>
              </w:rPr>
            </w:pPr>
          </w:p>
        </w:tc>
      </w:tr>
      <w:tr>
        <w:trPr>
          <w:trHeight w:val="20"/>
        </w:trPr>
        <w:tc>
          <w:tcPr>
            <w:tcW w:w="8080" w:type="dxa"/>
            <w:vAlign w:val="bottom"/>
            <w:gridSpan w:val="5"/>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7"/>
        </w:trPr>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 Yes [</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[X]</w:t>
            </w:r>
          </w:p>
        </w:tc>
      </w:tr>
      <w:tr>
        <w:trPr>
          <w:trHeight w:val="378"/>
        </w:trPr>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 Yes [</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 No [X]</w:t>
            </w:r>
          </w:p>
        </w:tc>
      </w:tr>
    </w:tbl>
    <w:p>
      <w:pPr>
        <w:spacing w:after="0" w:line="150" w:lineRule="exact"/>
        <w:rPr>
          <w:sz w:val="24"/>
          <w:szCs w:val="24"/>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32"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No [ ]</w:t>
      </w:r>
    </w:p>
    <w:p>
      <w:pPr>
        <w:spacing w:after="0" w:line="132"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32" w:lineRule="exact"/>
        <w:rPr>
          <w:sz w:val="24"/>
          <w:szCs w:val="24"/>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791" w:gutter="0" w:footer="0" w:header="0"/>
        </w:sectPr>
      </w:pP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117" w:lineRule="exact"/>
        <w:rPr>
          <w:sz w:val="24"/>
          <w:szCs w:val="24"/>
          <w:color w:val="auto"/>
        </w:rPr>
      </w:pPr>
    </w:p>
    <w:p>
      <w:pPr>
        <w:sectPr>
          <w:pgSz w:w="11900" w:h="16838" w:orient="portrait"/>
          <w:cols w:equalWidth="0" w:num="3">
            <w:col w:w="1580" w:space="380"/>
            <w:col w:w="7120" w:space="720"/>
            <w:col w:w="1620"/>
          </w:cols>
          <w:pgMar w:left="240" w:top="226" w:right="239" w:bottom="791"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4"/>
          <w:szCs w:val="24"/>
          <w:color w:val="auto"/>
        </w:rPr>
      </w:pPr>
    </w:p>
    <w:p>
      <w:pPr>
        <w:sectPr>
          <w:pgSz w:w="11900" w:h="16838" w:orient="portrait"/>
          <w:cols w:equalWidth="0" w:num="5">
            <w:col w:w="1500" w:space="460"/>
            <w:col w:w="6020" w:space="720"/>
            <w:col w:w="1920" w:space="460"/>
            <w:col w:w="60" w:space="180"/>
            <w:col w:w="100"/>
          </w:cols>
          <w:pgMar w:left="240" w:top="226" w:right="239" w:bottom="791"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 Yes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 No [X]</w:t>
      </w:r>
    </w:p>
    <w:p>
      <w:pPr>
        <w:spacing w:after="0" w:line="194" w:lineRule="exact"/>
        <w:rPr>
          <w:sz w:val="24"/>
          <w:szCs w:val="24"/>
          <w:color w:val="auto"/>
        </w:rPr>
      </w:pPr>
    </w:p>
    <w:p>
      <w:pPr>
        <w:sectPr>
          <w:pgSz w:w="11900" w:h="16838" w:orient="portrait"/>
          <w:cols w:equalWidth="0" w:num="2">
            <w:col w:w="7660" w:space="160"/>
            <w:col w:w="3600"/>
          </w:cols>
          <w:pgMar w:left="240" w:top="226" w:right="239" w:bottom="791" w:gutter="0" w:footer="0" w:header="0"/>
          <w:type w:val="continuous"/>
        </w:sect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Domino’s Pizza, Inc. as of June 14, 2009 computed by reference to the closing price of Domino’s Pizza, Inc.’s Common Stock on the New York Stock Exchange on such date was $317,320,358.</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2010, Domino’s Pizza, Inc. had 58,757,267 shares of Common Stock, par value $0.01 per share, outstanding.</w:t>
      </w:r>
    </w:p>
    <w:p>
      <w:pPr>
        <w:spacing w:after="0" w:line="16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3" w:lineRule="exact"/>
        <w:rPr>
          <w:sz w:val="24"/>
          <w:szCs w:val="24"/>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Portions of the definitive proxy statement to be furnished to shareholders of Domino’s Pizza, Inc. in connection with the annual meeting of shareholders to be held on April 28, 2010 are incorporated by reference into Part III.</w:t>
      </w:r>
    </w:p>
    <w:p>
      <w:pPr>
        <w:sectPr>
          <w:pgSz w:w="11900" w:h="16838" w:orient="portrait"/>
          <w:cols w:equalWidth="0" w:num="1">
            <w:col w:w="11420"/>
          </w:cols>
          <w:pgMar w:left="240" w:top="226" w:right="239" w:bottom="791"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Page No.</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460" w:type="dxa"/>
            <w:vAlign w:val="bottom"/>
            <w:vMerge w:val="restart"/>
          </w:tcPr>
          <w:p>
            <w:pPr>
              <w:jc w:val="cente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4880" w:type="dxa"/>
            <w:vAlign w:val="bottom"/>
            <w:gridSpan w:val="9"/>
            <w:vMerge w:val="restart"/>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460" w:type="dxa"/>
            <w:vAlign w:val="bottom"/>
            <w:tcBorders>
              <w:bottom w:val="single" w:sz="8" w:color="0000EE"/>
            </w:tcBorders>
            <w:vMerge w:val="continue"/>
          </w:tcPr>
          <w:p>
            <w:pPr>
              <w:spacing w:after="0"/>
              <w:rPr>
                <w:sz w:val="24"/>
                <w:szCs w:val="24"/>
                <w:color w:val="auto"/>
              </w:rPr>
            </w:pPr>
          </w:p>
        </w:tc>
        <w:tc>
          <w:tcPr>
            <w:tcW w:w="4880" w:type="dxa"/>
            <w:vAlign w:val="bottom"/>
            <w:gridSpan w:val="9"/>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260" w:type="dxa"/>
            <w:vAlign w:val="bottom"/>
            <w:gridSpan w:val="30"/>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Risk Factors</w:t>
              </w:r>
            </w:hyperlink>
          </w:p>
        </w:tc>
        <w:tc>
          <w:tcPr>
            <w:tcW w:w="9000" w:type="dxa"/>
            <w:vAlign w:val="bottom"/>
            <w:gridSpan w:val="2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Unresolved Staff Comments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23">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7"/>
          </w:tcPr>
          <w:p>
            <w:pPr>
              <w:spacing w:after="0"/>
              <w:rPr>
                <w:sz w:val="17"/>
                <w:szCs w:val="17"/>
                <w:color w:val="auto"/>
              </w:rPr>
            </w:pPr>
          </w:p>
        </w:tc>
        <w:tc>
          <w:tcPr>
            <w:tcW w:w="790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3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Reserved</w:t>
              </w:r>
            </w:hyperlink>
          </w:p>
        </w:tc>
        <w:tc>
          <w:tcPr>
            <w:tcW w:w="860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1"/>
          </w:tcPr>
          <w:p>
            <w:pPr>
              <w:jc w:val="center"/>
              <w:ind w:right="4860"/>
              <w:spacing w:after="0"/>
              <w:rPr>
                <w:rFonts w:ascii="Times New Roman" w:cs="Times New Roman" w:eastAsia="Times New Roman" w:hAnsi="Times New Roman"/>
                <w:sz w:val="18"/>
                <w:szCs w:val="18"/>
                <w:b w:val="1"/>
                <w:bCs w:val="1"/>
                <w:color w:val="0000EE"/>
                <w:w w:val="95"/>
              </w:rPr>
            </w:pPr>
            <w:hyperlink w:anchor="page24">
              <w:r>
                <w:rPr>
                  <w:rFonts w:ascii="Times New Roman" w:cs="Times New Roman" w:eastAsia="Times New Roman" w:hAnsi="Times New Roman"/>
                  <w:sz w:val="18"/>
                  <w:szCs w:val="18"/>
                  <w:b w:val="1"/>
                  <w:bCs w:val="1"/>
                  <w:color w:val="0000EE"/>
                  <w:w w:val="95"/>
                </w:rPr>
                <w:t>Part II</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00" w:type="dxa"/>
            <w:vAlign w:val="bottom"/>
            <w:gridSpan w:val="3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Selected Financial Data</w:t>
              </w:r>
            </w:hyperlink>
          </w:p>
        </w:tc>
        <w:tc>
          <w:tcPr>
            <w:tcW w:w="6200" w:type="dxa"/>
            <w:vAlign w:val="bottom"/>
            <w:tcBorders>
              <w:top w:val="single" w:sz="8" w:color="0000EE"/>
            </w:tcBorders>
            <w:gridSpan w:val="23"/>
          </w:tcPr>
          <w:p>
            <w:pPr>
              <w:spacing w:after="0"/>
              <w:rPr>
                <w:sz w:val="17"/>
                <w:szCs w:val="17"/>
                <w:color w:val="auto"/>
              </w:rPr>
            </w:pPr>
          </w:p>
        </w:tc>
        <w:tc>
          <w:tcPr>
            <w:tcW w:w="20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10"/>
          </w:tcPr>
          <w:p>
            <w:pPr>
              <w:spacing w:after="0"/>
              <w:rPr>
                <w:sz w:val="17"/>
                <w:szCs w:val="17"/>
                <w:color w:val="auto"/>
              </w:rPr>
            </w:pPr>
          </w:p>
        </w:tc>
        <w:tc>
          <w:tcPr>
            <w:tcW w:w="360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Financial Statements and Supplementary Data</w:t>
              </w:r>
            </w:hyperlink>
          </w:p>
        </w:tc>
        <w:tc>
          <w:tcPr>
            <w:tcW w:w="664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Controls and Procedures</w:t>
              </w:r>
            </w:hyperlink>
          </w:p>
        </w:tc>
        <w:tc>
          <w:tcPr>
            <w:tcW w:w="4580" w:type="dxa"/>
            <w:vAlign w:val="bottom"/>
            <w:tcBorders>
              <w:top w:val="single" w:sz="8" w:color="0000EE"/>
            </w:tcBorders>
            <w:gridSpan w:val="20"/>
          </w:tcPr>
          <w:p>
            <w:pPr>
              <w:spacing w:after="0"/>
              <w:rPr>
                <w:sz w:val="17"/>
                <w:szCs w:val="17"/>
                <w:color w:val="auto"/>
              </w:rPr>
            </w:pPr>
          </w:p>
        </w:tc>
        <w:tc>
          <w:tcPr>
            <w:tcW w:w="358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Times New Roman" w:cs="Times New Roman" w:eastAsia="Times New Roman" w:hAnsi="Times New Roman"/>
                <w:sz w:val="18"/>
                <w:szCs w:val="18"/>
                <w:b w:val="1"/>
                <w:bCs w:val="1"/>
                <w:color w:val="0000EE"/>
                <w:w w:val="97"/>
              </w:rPr>
            </w:pPr>
            <w:hyperlink w:anchor="page80">
              <w:r>
                <w:rPr>
                  <w:rFonts w:ascii="Times New Roman" w:cs="Times New Roman" w:eastAsia="Times New Roman" w:hAnsi="Times New Roman"/>
                  <w:sz w:val="18"/>
                  <w:szCs w:val="18"/>
                  <w:b w:val="1"/>
                  <w:bCs w:val="1"/>
                  <w:color w:val="0000EE"/>
                  <w:w w:val="97"/>
                </w:rPr>
                <w:t>Part III</w:t>
              </w:r>
            </w:hyperlink>
          </w:p>
        </w:tc>
        <w:tc>
          <w:tcPr>
            <w:tcW w:w="48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900" w:type="dxa"/>
            <w:vAlign w:val="bottom"/>
            <w:gridSpan w:val="32"/>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Directors and Executive Officers of the Registrants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36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Executive Compensation</w:t>
              </w:r>
            </w:hyperlink>
          </w:p>
        </w:tc>
        <w:tc>
          <w:tcPr>
            <w:tcW w:w="630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33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Certain Relationships and Related Transactions</w:t>
              </w:r>
            </w:hyperlink>
          </w:p>
        </w:tc>
        <w:tc>
          <w:tcPr>
            <w:tcW w:w="3780" w:type="dxa"/>
            <w:vAlign w:val="bottom"/>
            <w:tcBorders>
              <w:top w:val="single" w:sz="8" w:color="0000EE"/>
            </w:tcBorders>
            <w:gridSpan w:val="15"/>
          </w:tcPr>
          <w:p>
            <w:pPr>
              <w:spacing w:after="0"/>
              <w:rPr>
                <w:sz w:val="17"/>
                <w:szCs w:val="17"/>
                <w:color w:val="auto"/>
              </w:rPr>
            </w:pPr>
          </w:p>
        </w:tc>
        <w:tc>
          <w:tcPr>
            <w:tcW w:w="278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900" w:type="dxa"/>
            <w:vAlign w:val="bottom"/>
            <w:gridSpan w:val="32"/>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Principal Accountant Fees and Services</w:t>
              </w:r>
            </w:hyperlink>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5"/>
              </w:rPr>
            </w:pPr>
            <w:hyperlink w:anchor="page82">
              <w:r>
                <w:rPr>
                  <w:rFonts w:ascii="Times New Roman" w:cs="Times New Roman" w:eastAsia="Times New Roman" w:hAnsi="Times New Roman"/>
                  <w:sz w:val="18"/>
                  <w:szCs w:val="18"/>
                  <w:b w:val="1"/>
                  <w:bCs w:val="1"/>
                  <w:color w:val="0000EE"/>
                  <w:w w:val="95"/>
                </w:rPr>
                <w:t>Part IV</w:t>
              </w:r>
            </w:hyperlink>
          </w:p>
        </w:tc>
        <w:tc>
          <w:tcPr>
            <w:tcW w:w="48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900" w:type="dxa"/>
            <w:vAlign w:val="bottom"/>
            <w:gridSpan w:val="32"/>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Exhibits and Financial Statement Schedules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40" w:type="dxa"/>
            <w:vAlign w:val="bottom"/>
            <w:gridSpan w:val="12"/>
            <w:shd w:val="clear" w:color="auto" w:fill="0000EE"/>
          </w:tcPr>
          <w:p>
            <w:pPr>
              <w:spacing w:after="0" w:line="20" w:lineRule="exact"/>
              <w:rPr>
                <w:sz w:val="1"/>
                <w:szCs w:val="1"/>
                <w:color w:val="auto"/>
              </w:rPr>
            </w:pPr>
          </w:p>
        </w:tc>
        <w:tc>
          <w:tcPr>
            <w:tcW w:w="6820" w:type="dxa"/>
            <w:vAlign w:val="bottom"/>
            <w:gridSpan w:val="1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5"/>
              </w:rPr>
            </w:pPr>
            <w:hyperlink w:anchor="page92">
              <w:r>
                <w:rPr>
                  <w:rFonts w:ascii="Times New Roman" w:cs="Times New Roman" w:eastAsia="Times New Roman" w:hAnsi="Times New Roman"/>
                  <w:sz w:val="18"/>
                  <w:szCs w:val="18"/>
                  <w:b w:val="1"/>
                  <w:bCs w:val="1"/>
                  <w:color w:val="0000EE"/>
                  <w:w w:val="95"/>
                </w:rPr>
                <w:t>SIGNATURES</w:t>
              </w:r>
            </w:hyperlink>
          </w:p>
        </w:tc>
        <w:tc>
          <w:tcPr>
            <w:tcW w:w="9760" w:type="dxa"/>
            <w:vAlign w:val="bottom"/>
            <w:gridSpan w:val="31"/>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5020" w:type="dxa"/>
            <w:vAlign w:val="bottom"/>
            <w:gridSpan w:val="23"/>
          </w:tcPr>
          <w:p>
            <w:pPr>
              <w:ind w:left="46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Domino’s Pizza, Inc. (referred to as the “Company,” “Domino’s” or in the first person notations of “we,” “us” and “our”) is the number one pizza delivery company in the United States, based on reported consumer spending, and has a leading presence internationally. On average, over one million pizzas are sold each day throughout the system, with deliveries covering approximately ten million miles per week. We pioneered the pizza delivery business and have built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into one of the most widely recognized consumer brands in the world. Together with our franchisees, we have supported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with an estimated $1.4 billion in domestic advertising spending over the past five years. We operate through a network of 8,999 Company-owned and franchise stores, located in all 50 states and in more than 60 international markets. In addition, we operate 16 regional dough manufacturing and supply chain centers, one thin crust manufacturing center and one vegetable processing supply chain center in the contiguous United States and six dough manufacturing and supply chain centers outside the contiguous United States. The foundation of our system-wide success and leading market position is our strong relationships with our franchisees, comprised of over 2,000 owner-operators dedicated to the success of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celebrate our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anniversary in 2010 and over our 49-year history, we have developed a simple business model focused on our core strength of delivering quality pizza and other complementary items in a timely manner. This business model includes a delivery-oriented store design with low capital requirements, a focused menu of pizza and other complementary items, committed owner-operator franchisees and a vertically-integrated supply chain system. Our earnings are driven largely by retail sales at our franchise stores, which generate royalty payments and supply chain revenues to us. We also generate earnings through retail sales at our Company-owned stores.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three segments: domestic stores, domestic supply chain and international.</w:t>
      </w:r>
    </w:p>
    <w:p>
      <w:pPr>
        <w:spacing w:after="0" w:line="169" w:lineRule="exact"/>
        <w:rPr>
          <w:sz w:val="20"/>
          <w:szCs w:val="20"/>
          <w:color w:val="auto"/>
        </w:rPr>
      </w:pPr>
    </w:p>
    <w:p>
      <w:pPr>
        <w:ind w:right="380" w:firstLine="8"/>
        <w:spacing w:after="0" w:line="277" w:lineRule="auto"/>
        <w:tabs>
          <w:tab w:leader="none" w:pos="10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stores. </w:t>
      </w:r>
      <w:r>
        <w:rPr>
          <w:rFonts w:ascii="Times New Roman" w:cs="Times New Roman" w:eastAsia="Times New Roman" w:hAnsi="Times New Roman"/>
          <w:sz w:val="18"/>
          <w:szCs w:val="18"/>
          <w:color w:val="auto"/>
        </w:rPr>
        <w:t>The domestic stores segment, which is comprised of 4,461 franchise stores and 466 Company-owned stores, generated revenues of $493.6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income from operations of $121.5 million during our fiscal year ended January 3, 2010, which we refer to herein as 2009.</w:t>
      </w:r>
    </w:p>
    <w:p>
      <w:pPr>
        <w:spacing w:after="0" w:line="116" w:lineRule="exact"/>
        <w:rPr>
          <w:rFonts w:ascii="Times New Roman" w:cs="Times New Roman" w:eastAsia="Times New Roman" w:hAnsi="Times New Roman"/>
          <w:sz w:val="18"/>
          <w:szCs w:val="18"/>
          <w:i w:val="1"/>
          <w:iCs w:val="1"/>
          <w:color w:val="auto"/>
        </w:rPr>
      </w:pPr>
    </w:p>
    <w:p>
      <w:pPr>
        <w:ind w:right="160" w:firstLine="8"/>
        <w:spacing w:after="0" w:line="264" w:lineRule="auto"/>
        <w:tabs>
          <w:tab w:leader="none" w:pos="10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Our domestic supply chain segment, which manufactures our dough and thin crust products, processes vegetables and distributes food,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supplies to all of our Company-owned stores and over 99% of our domestic franchise stores, generated revenues of $763.7 million and income from operations of $57.0 million during 2009.</w:t>
      </w:r>
    </w:p>
    <w:p>
      <w:pPr>
        <w:spacing w:after="0" w:line="127" w:lineRule="exact"/>
        <w:rPr>
          <w:rFonts w:ascii="Times New Roman" w:cs="Times New Roman" w:eastAsia="Times New Roman" w:hAnsi="Times New Roman"/>
          <w:sz w:val="18"/>
          <w:szCs w:val="18"/>
          <w:i w:val="1"/>
          <w:iCs w:val="1"/>
          <w:color w:val="auto"/>
        </w:rPr>
      </w:pPr>
    </w:p>
    <w:p>
      <w:pPr>
        <w:ind w:right="180" w:firstLine="8"/>
        <w:spacing w:after="0" w:line="259" w:lineRule="auto"/>
        <w:tabs>
          <w:tab w:leader="none" w:pos="1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Our international segment oversees 4,072 franchise stores outside the contiguous United States. It also manufactures dough and distributes food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supplies in a limited number of these markets. During 2009, our international segment generated revenues of $146.8 million, of which approximately 53% related to franchise royalties and fees, and generated income from operations of $66.8 million, of which approximately 91% related to franchise royalties and fees.</w:t>
      </w:r>
    </w:p>
    <w:p>
      <w:pPr>
        <w:spacing w:after="0" w:line="135"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On a consolidated basis, we generated revenues of more than $1.4 billion and income from operations (after deducting $55.8 million of unallocated corporate and other expenses) of $189.5 million in 2009. Net income was $79.7 million in 2009. We have been able to increase our net income over the past three years and grow global retail sales and have also added over 1,200 stores worldwide. We are able to grow our business with capital expenditures that generally range between only $20.0 million to $30.0 million on an annualized basis, since a significant portion of our earnings are derived from retail sales by our franchisees.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2007, the Company completed a recapitalization transaction (the “2007 Recapitalization”), consisting of (i) $1.7 billion of borrowings of fixed rate notes,</w:t>
      </w:r>
    </w:p>
    <w:p>
      <w:pPr>
        <w:spacing w:after="0" w:line="44" w:lineRule="exact"/>
        <w:rPr>
          <w:sz w:val="20"/>
          <w:szCs w:val="20"/>
          <w:color w:val="auto"/>
        </w:rPr>
      </w:pPr>
    </w:p>
    <w:p>
      <w:pPr>
        <w:ind w:right="80" w:firstLine="8"/>
        <w:spacing w:after="0" w:line="254"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 tender offer resulting in the purchase of 2,242 shares of the Company’s common stock at a purchase price of $30.00 per share, (iii) the purchase and retirement at a premium of all the outstanding Domino’s, Inc. 8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subordinated notes due 2011, (iv) the repayment of all outstanding borrowings under its senior credit facility, and (v) a $13.50 per share special cash dividend to shareholders and related anti-dilution payments and adjustments to certain option holders.</w:t>
      </w:r>
    </w:p>
    <w:p>
      <w:pPr>
        <w:spacing w:after="0" w:line="13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Additionally, in 2007 the Board of Directors approved an open market share repurchase program for up to $200.0 million of the Company’s common stock, to be funded by future free cash flow and borrowings available under our variable funding notes. The Company repurchased 3,614,310 shares of common stock for approximately $54.4 million in 2007 and repurchased 3,369,522 shares of common stock for approximately $42.9 million in 2008. The Company has approximately $102.7 million remaining under the open market share repurchase program. In 2009, the Company utilized free cash flow and, to a lesser extent, borrowings under its variable funding notes facility to repurchase and retire approximately $189.2 million in principal amount of its fixed rate senior notes, at a discount.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history</w:t>
      </w:r>
    </w:p>
    <w:p>
      <w:pPr>
        <w:spacing w:after="0" w:line="1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been delivering quality, affordable pizza to our customers since 1960 when brothers Thomas and James Monaghan borrowed $900 and purchased a small pizza store in Ypsilanti, Michigan. Since that time, our store count and geographic reach have grown substantially. We opened our first franchise store in 1967, our first international store in 1983 and, by 1998, we had expanded to over 6,200 stores, including more than 1,700 international stores, on six continents. During 2005, we opened our 8,000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store worldwide and at January 3, 2010, we had 8,999 stores worldwide in more than 60 international markets. We will celebrate the Company’s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anniversary in December 2010.</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1998, an investor group led by investment funds associated with Bain Capital, LLC completed a recapitalization through which the investor group acquired a 93% controlling economic interest in our Company from Thomas Monaghan and his family. At the time of the recapitalization, Mr. Monaghan retired, and, in March 1999, David A. Brandon was named our Chairman and Chief Executive Officer. In 2004, Domino’s Pizza, Inc. completed its initial public offering (the “IPO”) and now trades on the New York Stock Exchange under the ticker symbol “DPZ.” In January 2010, Mr. Brandon announced his plan to resign from his position as Chief Executive Officer, effective March 7, 2010. Concurrently, it was announced that J. Patrick Doyle would succeed Mr. Brandon as President and Chief Executive Officer and will also be appointed to the Board of Directors. Mr. Brandon will be retained by the Company as a special advisor for the balance of 2010 and will remain Chairman of the Company’s Board of Directors.</w:t>
      </w:r>
    </w:p>
    <w:p>
      <w:pPr>
        <w:spacing w:after="0" w:line="141"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Our company was founded in 1960. TISM, Inc., a Michigan corporation and our predecessor, operated through its wholly-owned subsidiary, Domino’s Pizza LLC, a Michigan limited liability company. In connection with the IPO, TISM, Inc. reincorporated in Delaware under the name Domino’s Pizza, Inc.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Industry overview</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In this document, we rely on and refer to information regarding the U.S. quick service restaurant, or QSR, sector, the U.S. QSR pizza category and its components and competitors (including us) from the CREST</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report prepared by The NPD Group, as well as market research reports, analyst reports and other publicly-available information. Although we believe this information to be reliable, we have not independently verified it. Domestic sales information relating to the QSR sector, U.S. QSR pizza category and U.S. pizza delivery and carry-out represent reported consumer spending obtained by The NPD Group’s CREST report from consumer surveys. This information relates to both our Company-owned and franchise stores. Unless otherwise indicated, all U.S. industry data included in this document is based on reported consumer spending obtained by The NPD Group’s CREST report from consumer surveys.</w:t>
      </w:r>
    </w:p>
    <w:p>
      <w:pPr>
        <w:spacing w:after="0" w:line="14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U.S. QSR pizza category is large and fragmented. With sales of $33.5 billion in the twelve months ended November 2009, the U.S. QSR pizza category is the second largest category within the $230.1 billion U.S. QSR sector. The U.S. QSR pizza category is primarily comprised of delivery, dine-in and carry-out.</w:t>
      </w:r>
    </w:p>
    <w:p>
      <w:pPr>
        <w:spacing w:after="0" w:line="7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operate primarily within U.S. pizza delivery. Its $10.3 billion of sales accounted for approximately 31% of total U.S. QSR pizza category sales in the twelve months ended November 2009. We and our top two competitors account for approximately 45% of U.S. pizza delivery, based on reported consumer spending, with the remaining 55% attributable to regional chains and individual establishments.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compete in carry-out, which together with pizza delivery comprise the largest components of the U.S. QSR pizza category. U.S. carry-out pizza had</w:t>
      </w:r>
    </w:p>
    <w:p>
      <w:pPr>
        <w:spacing w:after="0" w:line="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$13.8 billion of sales in the twelve months ended November 2009 and while our primary focus is on pizza delivery, we are also favorably positioned to compete in carry-out given our strong brand, convenient store locations and quality, affordable menu offerings.</w:t>
      </w:r>
    </w:p>
    <w:p>
      <w:pPr>
        <w:spacing w:after="0" w:line="132"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In contrast to the United States, international pizza delivery is relatively underdeveloped, with only Domino’s and one other competitor having a significant global presence. We believe that demand for international pizza delivery is large and growing, driven by international consumers’ increasing emphasis on convenience.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competitive strengths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competitive strengths include the following:</w:t>
      </w:r>
    </w:p>
    <w:p>
      <w:pPr>
        <w:spacing w:after="0" w:line="86" w:lineRule="exact"/>
        <w:rPr>
          <w:sz w:val="20"/>
          <w:szCs w:val="20"/>
          <w:color w:val="auto"/>
        </w:rPr>
      </w:pPr>
    </w:p>
    <w:p>
      <w:pPr>
        <w:ind w:right="40" w:firstLine="8"/>
        <w:spacing w:after="0" w:line="313" w:lineRule="auto"/>
        <w:tabs>
          <w:tab w:leader="none" w:pos="1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Strong and proven growth and earnings model. </w:t>
      </w:r>
      <w:r>
        <w:rPr>
          <w:rFonts w:ascii="Times New Roman" w:cs="Times New Roman" w:eastAsia="Times New Roman" w:hAnsi="Times New Roman"/>
          <w:sz w:val="16"/>
          <w:szCs w:val="16"/>
          <w:color w:val="auto"/>
        </w:rPr>
        <w:t>Over our 49-year history, we have developed a focused growth and earnings model. This model is anchored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strong store-level economics, which provide an entrepreneurial incentive for our franchisees and generate demand for new stores. Our franchise system, in turn, has produced strong and consistent earnings for us through royalty payments and supply chain revenues, with minimal associated capital expenditures by us.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40" w:firstLine="4"/>
        <w:spacing w:after="0" w:line="254" w:lineRule="auto"/>
        <w:tabs>
          <w:tab w:leader="none" w:pos="5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store-level economics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a cost-efficient store model, characterized by a delivery and carry-out oriented store design, with 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requirements and a focused menu of quality, affordable pizza and other complementary items. At the store level, we believe that the simplicity and efficiency of our operations give us significant advantages over our competitors who in many cases also focus on dine-in. Our domestic stores, and the majority of our international stores, do not offer dine-in areas and thus do not require expensive restaurant facilities and staffing. In addition, our focused menu of pizza and other complementary items simplifies and streamlines our production and delivery processes and maximizes economies of scale on purchases of our principal ingredients. As a result of our focused business model and menu, our stores are small (averaging approximately 1,000 to 1,300 square feet) and relatively inexpensive to build, furnish and maintain as compared to many other QSR franchise opportunities. The combination of this efficient store model and strong store sales volume has resulted in strong store-level financial returns and makes Domino’s Pizza an attractive business opportunity for existing and prospective franchisees.</w:t>
      </w:r>
    </w:p>
    <w:p>
      <w:pPr>
        <w:spacing w:after="0" w:line="135" w:lineRule="exact"/>
        <w:rPr>
          <w:rFonts w:ascii="Times New Roman" w:cs="Times New Roman" w:eastAsia="Times New Roman" w:hAnsi="Times New Roman"/>
          <w:sz w:val="18"/>
          <w:szCs w:val="18"/>
          <w:color w:val="auto"/>
        </w:rPr>
      </w:pPr>
    </w:p>
    <w:p>
      <w:pPr>
        <w:ind w:left="460" w:right="180" w:firstLine="4"/>
        <w:spacing w:after="0" w:line="256" w:lineRule="auto"/>
        <w:tabs>
          <w:tab w:leader="none" w:pos="5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and well-diversified franchise system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a large, global, diversified and committed franchise network that is a 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of our system-wide success and our leading position in pizza delivery. As of January 3, 2010, our franchise store network consisted of 8,533 stores, 52% of which were located in the contiguous United States. In the United States, six franchisees operate more than 50 stores, including our largest domestic franchisee who operates 143 stores. Our domestic franchisees own and operate an average of three to four stores. We generally require our domestic franchisees to forego active, outside business endeavors, aligning their interests with ours and making the success of each Domino’s Pizza franchise of critical importance to our franchisees.</w:t>
      </w:r>
    </w:p>
    <w:p>
      <w:pPr>
        <w:spacing w:after="0" w:line="138"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In addition, we generally share 50% of the pre-tax profits generated by our regional dough manufacturing and supply chain centers with those domestic franchisees who agree to purchase all of their food from our supply chain system. During 2009, we issued a record level of profit sharing payments to our franchisees in connection with this program. These arrangements strengthen our ties with our franchisees by enhancing their profitability while providing us with a continuing source of revenues and earnings. This arrangement also provides incentives for franchisees to work closely with us to reduce costs. We believe our strong, mutually-beneficial franchisee relationships are evidenced by the over 99% voluntary participation in our domestic supply chain system, our over 99% domestic franchise contract renewal rate and our over 99% collection rate on domestic franchise royalty and domestic supply chain receivables.</w:t>
      </w:r>
    </w:p>
    <w:p>
      <w:pPr>
        <w:spacing w:after="0" w:line="141"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Internationally, we have been able to grow our franchise network by attracting franchisees with business experience and local market knowledge. We generally employ our master franchise model, which provides our international franchisees with exclusive rights to operate stores or sub-franchise our well-recognized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name in specific, agreed-upon market areas. From year-end 2004 through 2009, we grew our international franchise network 48%, from 2,749 stores to 4,072 stores. Our largest master franchisee operates 755 stores in five markets, which accounts for approximately 19% of our total international store count. During 2009, we had 414 gross international store openings, including an 86-store conversion in Spain, which represented the largest number of gross store openings in the international segment’s history.</w:t>
      </w:r>
    </w:p>
    <w:p>
      <w:pPr>
        <w:spacing w:after="0" w:line="135" w:lineRule="exact"/>
        <w:rPr>
          <w:sz w:val="20"/>
          <w:szCs w:val="20"/>
          <w:color w:val="auto"/>
        </w:rPr>
      </w:pPr>
    </w:p>
    <w:p>
      <w:pPr>
        <w:ind w:left="460" w:right="320" w:firstLine="4"/>
        <w:spacing w:after="0" w:line="280" w:lineRule="auto"/>
        <w:tabs>
          <w:tab w:leader="none" w:pos="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cash flow and earnings stream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substantial percentage of our earnings are generated by our committed, owner-operator franchisees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royalty payments and revenues to our vertically-integrated supply chain system.</w:t>
      </w:r>
    </w:p>
    <w:p>
      <w:pPr>
        <w:spacing w:after="0" w:line="115"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color w:val="auto"/>
        </w:rPr>
        <w:t>We believe that our store economics have led to a strong, well diversified franchise system. This established franchise system has produced strong cash flow and earnings for us, which has enabled us to invest in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our stores and our supply chain centers, pay significant dividends, repurchase shares of our common stock, repurchase and retire outstanding principal on our fixed rate notes and deliver attractive returns to our stockholders.</w:t>
      </w:r>
    </w:p>
    <w:p>
      <w:pPr>
        <w:spacing w:after="0" w:line="132" w:lineRule="exact"/>
        <w:rPr>
          <w:sz w:val="20"/>
          <w:szCs w:val="20"/>
          <w:color w:val="auto"/>
        </w:rPr>
      </w:pPr>
    </w:p>
    <w:p>
      <w:pPr>
        <w:ind w:left="460" w:right="60" w:firstLine="4"/>
        <w:spacing w:after="0" w:line="257" w:lineRule="auto"/>
        <w:tabs>
          <w:tab w:leader="none" w:pos="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 pizza delivery company in the United States with a leading international presence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the number one pizza delivery company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with an 18.4% share based on reported consumer spending. With 4,927 stores located in the contiguous United States, our domestic store delivery areas cover a majority of U.S. households. Our share position and scale allow us to leverage our purchasing power, supply chain strength and advertising investment across our store base. We also believe that our scale and market coverage allow us to effectively serve our customers’ demands for convenience and timely delivery.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60"/>
        <w:spacing w:after="0" w:line="262" w:lineRule="auto"/>
        <w:rPr>
          <w:sz w:val="20"/>
          <w:szCs w:val="20"/>
          <w:color w:val="auto"/>
        </w:rPr>
      </w:pPr>
      <w:r>
        <w:rPr>
          <w:rFonts w:ascii="Times New Roman" w:cs="Times New Roman" w:eastAsia="Times New Roman" w:hAnsi="Times New Roman"/>
          <w:sz w:val="18"/>
          <w:szCs w:val="18"/>
          <w:color w:val="auto"/>
        </w:rPr>
        <w:t>Outside the United States, we have significant share positions in the key markets in which we compete, including, Mexico, the United Kingdom, Australia, South Korea, Canada, India, Japan, France, Turkey and Taiwan. Our top ten international markets, based on store count, accounted for approximately 79% of our international retail sales in 2009. We believe we have a leading presence in these markets.</w:t>
      </w:r>
    </w:p>
    <w:p>
      <w:pPr>
        <w:spacing w:after="0" w:line="128" w:lineRule="exact"/>
        <w:rPr>
          <w:sz w:val="20"/>
          <w:szCs w:val="20"/>
          <w:color w:val="auto"/>
        </w:rPr>
      </w:pPr>
    </w:p>
    <w:p>
      <w:pPr>
        <w:ind w:left="460" w:right="140" w:firstLine="4"/>
        <w:spacing w:after="0" w:line="256" w:lineRule="auto"/>
        <w:tabs>
          <w:tab w:leader="none" w:pos="5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brand awareness. </w:t>
      </w:r>
      <w:r>
        <w:rPr>
          <w:rFonts w:ascii="Times New Roman" w:cs="Times New Roman" w:eastAsia="Times New Roman" w:hAnsi="Times New Roman"/>
          <w:sz w:val="18"/>
          <w:szCs w:val="18"/>
          <w:color w:val="auto"/>
        </w:rPr>
        <w:t>We believe our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is one of the most widely-recognized consumer brands in the world. We believe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associate our brand with the timely delivery of quality, affordable pizza and other complementary items. Over the past five years, our domestic franchise and Company-owned stores have invested an estimated $1.4 billion on national, local and co-operative advertising in the United States. Our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is routinely named a MegaBrand by </w:t>
      </w:r>
      <w:r>
        <w:rPr>
          <w:rFonts w:ascii="Times New Roman" w:cs="Times New Roman" w:eastAsia="Times New Roman" w:hAnsi="Times New Roman"/>
          <w:sz w:val="18"/>
          <w:szCs w:val="18"/>
          <w:i w:val="1"/>
          <w:iCs w:val="1"/>
          <w:color w:val="auto"/>
        </w:rPr>
        <w:t>Advertising Age</w:t>
      </w:r>
      <w:r>
        <w:rPr>
          <w:rFonts w:ascii="Times New Roman" w:cs="Times New Roman" w:eastAsia="Times New Roman" w:hAnsi="Times New Roman"/>
          <w:sz w:val="18"/>
          <w:szCs w:val="18"/>
          <w:color w:val="auto"/>
        </w:rPr>
        <w:t>. We continue to reinforce our brand with extensive advertising through television, radio, print and web-based promotions. We have also enhanced the strength of our brand through marketing affiliations with brands such as Coca-Cola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both"/>
        <w:ind w:left="460" w:right="100"/>
        <w:spacing w:after="0" w:line="262" w:lineRule="auto"/>
        <w:rPr>
          <w:sz w:val="20"/>
          <w:szCs w:val="20"/>
          <w:color w:val="auto"/>
        </w:rPr>
      </w:pPr>
      <w:r>
        <w:rPr>
          <w:rFonts w:ascii="Times New Roman" w:cs="Times New Roman" w:eastAsia="Times New Roman" w:hAnsi="Times New Roman"/>
          <w:sz w:val="18"/>
          <w:szCs w:val="18"/>
          <w:color w:val="auto"/>
        </w:rPr>
        <w:t>We believe that our brand is particularly strong among pizza consumers for whom a meal is a fairly spontaneous event. In these situations, we believe that service and product quality are the consumers’ priorities. We believe that well established demographic and lifestyle trends will drive continuing emphasis on convenience and will, therefore, continue to play into our brand’s strength.</w:t>
      </w:r>
    </w:p>
    <w:p>
      <w:pPr>
        <w:spacing w:after="0" w:line="128" w:lineRule="exact"/>
        <w:rPr>
          <w:sz w:val="20"/>
          <w:szCs w:val="20"/>
          <w:color w:val="auto"/>
        </w:rPr>
      </w:pPr>
    </w:p>
    <w:p>
      <w:pPr>
        <w:ind w:left="460" w:firstLine="4"/>
        <w:spacing w:after="0" w:line="260" w:lineRule="auto"/>
        <w:tabs>
          <w:tab w:leader="none" w:pos="5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Internal dough manufacturing and supply chain system. </w:t>
      </w:r>
      <w:r>
        <w:rPr>
          <w:rFonts w:ascii="Times New Roman" w:cs="Times New Roman" w:eastAsia="Times New Roman" w:hAnsi="Times New Roman"/>
          <w:sz w:val="18"/>
          <w:szCs w:val="18"/>
          <w:color w:val="auto"/>
        </w:rPr>
        <w:t>In addition to generating significant revenues and earnings, we believe that our vertically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dough manufacturing and supply chain system enhances the quality and consistency of our products, enhances our relationships with franchisees, leverages economies of scale to offer lower costs to our stores and allows our store managers to better focus on store operations and customer service by relieving them of the responsibility of mixing dough in the stores.</w:t>
      </w:r>
    </w:p>
    <w:p>
      <w:pPr>
        <w:spacing w:after="0" w:line="133"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In 2009, we made approximately 523,000 full-service food deliveries to our domestic stores, or approximately two deliveries per store, per week, with an on-time delivery performance rate of approximately 92%. All of our Company-owned and over 99% of our domestic franchise stores purchase all of their food and supplies from us. This is accomplished through our network of 16 regional dough manufacturing and supply chain centers, each of which is generally located within a one-day delivery radius of the stores it serves, and a leased fleet of over 400 tractors and trailers. Additionally, we supply our domestic and international franchisees with equipment and supplies through our equipment and supply center, which we operate as part of our domestic supply chain segment. Our equipment and supply center sells and delivers a full range of products, including ovens and uniforms. We also supply certain of our domestic stores with ingredients that are processed at our vegetable processing supply chain center and supply thin crust product that is manufactured at our thin crust manufacturing center, both of which we operate as part of our domestic supply chain segment.</w:t>
      </w:r>
    </w:p>
    <w:p>
      <w:pPr>
        <w:spacing w:after="0" w:line="138" w:lineRule="exact"/>
        <w:rPr>
          <w:sz w:val="20"/>
          <w:szCs w:val="20"/>
          <w:color w:val="auto"/>
        </w:rPr>
      </w:pPr>
    </w:p>
    <w:p>
      <w:pPr>
        <w:jc w:val="both"/>
        <w:ind w:left="460" w:right="160"/>
        <w:spacing w:after="0" w:line="258" w:lineRule="auto"/>
        <w:rPr>
          <w:sz w:val="20"/>
          <w:szCs w:val="20"/>
          <w:color w:val="auto"/>
        </w:rPr>
      </w:pPr>
      <w:r>
        <w:rPr>
          <w:rFonts w:ascii="Times New Roman" w:cs="Times New Roman" w:eastAsia="Times New Roman" w:hAnsi="Times New Roman"/>
          <w:sz w:val="18"/>
          <w:szCs w:val="18"/>
          <w:color w:val="auto"/>
        </w:rPr>
        <w:t>Because we source the food for substantially all of our domestic stores, our domestic supply chain segment enables us to leverage and monitor our strong supplier relationships to achieve the cost benefits of scale and to ensure compliance with our rigorous quality standards. In addition, the “one-stop shop” nature of this system, combined with our delivery accuracy, allows our store managers to eliminate a significant component of the typical “back-of-store” activity that many of our competitors’ store managers must undertake.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 strategy</w:t>
      </w:r>
    </w:p>
    <w:p>
      <w:pPr>
        <w:spacing w:after="0" w:line="16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intend to achieve further growth and strengthen our competitive position through the continued implementation of our business strategy, which includes the following key elements:</w:t>
      </w:r>
    </w:p>
    <w:p>
      <w:pPr>
        <w:spacing w:after="0" w:line="116" w:lineRule="exact"/>
        <w:rPr>
          <w:sz w:val="20"/>
          <w:szCs w:val="20"/>
          <w:color w:val="auto"/>
        </w:rPr>
      </w:pPr>
    </w:p>
    <w:p>
      <w:pPr>
        <w:ind w:right="60" w:firstLine="8"/>
        <w:spacing w:after="0" w:line="280" w:lineRule="auto"/>
        <w:tabs>
          <w:tab w:leader="none" w:pos="1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execute on our mission statement. </w:t>
      </w:r>
      <w:r>
        <w:rPr>
          <w:rFonts w:ascii="Times New Roman" w:cs="Times New Roman" w:eastAsia="Times New Roman" w:hAnsi="Times New Roman"/>
          <w:sz w:val="18"/>
          <w:szCs w:val="18"/>
          <w:color w:val="auto"/>
        </w:rPr>
        <w:t>Our mission statement is “Exceptional franchisees and team members on a mission to be the best pizza delivery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the world.” We implement this mission statement by following a business strategy that:</w:t>
      </w:r>
    </w:p>
    <w:p>
      <w:pPr>
        <w:spacing w:after="0" w:line="11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puts franchisees and Company-owned stores at the foundation of all our thinking and decisions;</w:t>
      </w:r>
    </w:p>
    <w:p>
      <w:pPr>
        <w:spacing w:after="0" w:line="21"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emphasizes our ability to select, develop and retain exceptional team members and franchisees;</w:t>
      </w:r>
    </w:p>
    <w:p>
      <w:pPr>
        <w:spacing w:after="0" w:line="9"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provides a strong infrastructure to support our stores; and</w:t>
      </w:r>
    </w:p>
    <w:p>
      <w:pPr>
        <w:spacing w:after="0" w:line="9"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builds excellent store operations to create loyal customers.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adhere to the following guiding principles, which are based on the concept of one united brand, system and team:</w:t>
      </w:r>
    </w:p>
    <w:p>
      <w:pPr>
        <w:spacing w:after="0" w:line="171"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putting people first;</w:t>
      </w:r>
    </w:p>
    <w:p>
      <w:pPr>
        <w:spacing w:after="0" w:line="21"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demanding integrity;</w:t>
      </w:r>
    </w:p>
    <w:p>
      <w:pPr>
        <w:spacing w:after="0" w:line="9"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striving to make every customer a loyal customer;</w:t>
      </w:r>
    </w:p>
    <w:p>
      <w:pPr>
        <w:spacing w:after="0" w:line="9"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delivering with smart hustle and positive energy; and</w:t>
      </w:r>
    </w:p>
    <w:p>
      <w:pPr>
        <w:spacing w:after="0" w:line="9" w:lineRule="exact"/>
        <w:rPr>
          <w:rFonts w:ascii="Times New Roman" w:cs="Times New Roman" w:eastAsia="Times New Roman" w:hAnsi="Times New Roman"/>
          <w:sz w:val="18"/>
          <w:szCs w:val="18"/>
          <w:i w:val="1"/>
          <w:iCs w:val="1"/>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winning by improving results every day.</w:t>
      </w:r>
    </w:p>
    <w:p>
      <w:pPr>
        <w:spacing w:after="0" w:line="154" w:lineRule="exact"/>
        <w:rPr>
          <w:rFonts w:ascii="Times New Roman" w:cs="Times New Roman" w:eastAsia="Times New Roman" w:hAnsi="Times New Roman"/>
          <w:sz w:val="18"/>
          <w:szCs w:val="18"/>
          <w:i w:val="1"/>
          <w:iCs w:val="1"/>
          <w:color w:val="auto"/>
        </w:rPr>
      </w:pPr>
    </w:p>
    <w:p>
      <w:pPr>
        <w:ind w:firstLine="8"/>
        <w:spacing w:after="0" w:line="260" w:lineRule="auto"/>
        <w:tabs>
          <w:tab w:leader="none" w:pos="1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leading position in an attractive industry. </w:t>
      </w:r>
      <w:r>
        <w:rPr>
          <w:rFonts w:ascii="Times New Roman" w:cs="Times New Roman" w:eastAsia="Times New Roman" w:hAnsi="Times New Roman"/>
          <w:sz w:val="18"/>
          <w:szCs w:val="18"/>
          <w:color w:val="auto"/>
        </w:rPr>
        <w:t>U.S. pizza delivery and carry-out are the largest components of the U.S. QSR pizza category. They are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fragmented. Pizza delivery, through which a majority of our retail sales are generated, had sales of $10.3 billion in the twelve months ended November 2009. As the leader in U.S. pizza delivery, we believe that our convenient store locations, simple operating model, widely-recognized brand and efficient supply chain system are competitive advantages that position us to capitalize on future growth.</w:t>
      </w:r>
    </w:p>
    <w:p>
      <w:pPr>
        <w:spacing w:after="0" w:line="13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Carry-out had $13.8 billion of sales in the twelve months ended November 2009. While our primary focus is on pizza delivery, we are also favorably positioned as a leader in carry-out given our strong brand, convenient store locations and quality, affordable menu offerings.</w:t>
      </w:r>
    </w:p>
    <w:p>
      <w:pPr>
        <w:spacing w:after="0" w:line="116" w:lineRule="exact"/>
        <w:rPr>
          <w:sz w:val="20"/>
          <w:szCs w:val="20"/>
          <w:color w:val="auto"/>
        </w:rPr>
      </w:pPr>
    </w:p>
    <w:p>
      <w:pPr>
        <w:ind w:right="100" w:firstLine="8"/>
        <w:spacing w:after="0" w:line="256" w:lineRule="auto"/>
        <w:tabs>
          <w:tab w:leader="none" w:pos="1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strong brand awareness. </w:t>
      </w:r>
      <w:r>
        <w:rPr>
          <w:rFonts w:ascii="Times New Roman" w:cs="Times New Roman" w:eastAsia="Times New Roman" w:hAnsi="Times New Roman"/>
          <w:sz w:val="18"/>
          <w:szCs w:val="18"/>
          <w:color w:val="auto"/>
        </w:rPr>
        <w:t>We believe that the strength of our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makes us one of the first choices of consumers seeking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convenient, quality and affordable meal. We intend to continue to promote our brand name and enhance our reputation as the leader in pizza delivery. In 2009, in connection with the launch of our Inspired New Pizza, we launched the campaign, “Oh Yes We Did.” The launch of this product and this campaign has received significant attention in the news media, social networking internet sites and other media outlets. We also created a new website, </w:t>
      </w:r>
      <w:r>
        <w:rPr>
          <w:rFonts w:ascii="Times New Roman" w:cs="Times New Roman" w:eastAsia="Times New Roman" w:hAnsi="Times New Roman"/>
          <w:sz w:val="18"/>
          <w:szCs w:val="18"/>
          <w:u w:val="single" w:color="auto"/>
          <w:color w:val="auto"/>
        </w:rPr>
        <w:t>www.pizzaturnaround.com</w:t>
      </w:r>
      <w:r>
        <w:rPr>
          <w:rFonts w:ascii="Times New Roman" w:cs="Times New Roman" w:eastAsia="Times New Roman" w:hAnsi="Times New Roman"/>
          <w:sz w:val="18"/>
          <w:szCs w:val="18"/>
          <w:color w:val="auto"/>
        </w:rPr>
        <w:t xml:space="preserve"> to further communicate this message to our consumers, highlight the improvements to our core pizza recipe and receive consumer feedback on the Inspired New Pizza.</w:t>
      </w:r>
    </w:p>
    <w:p>
      <w:pPr>
        <w:spacing w:after="0" w:line="1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2008, each of our domestic stores contributed 4% of their retail sales to our advertising fund for national advertising in addition to contributions for market-level advertising. In 2009, our domestic stores within active co-operatives elected to allocate an additional 1% of their advertising contributions to support national advertising initiatives, which resulted in each of our domestic stores contributing 5% of their retail sales for national advertising in 2009. Also in 2009, domestic franchisees amended their master franchise agreements to require a contribution of 5.5% of their retail sales to fund national marketing and advertising campaigns and to eliminate the required market-level contributions, beginning in 2010.</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intend to leverage our strong brand by continuing to introduce innovative, consumer-tested and profitable new product varieties (such as Oven Baked Sandwiches, Domino’s American Legends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pizzas and BreadBowl Pasta™), complementary side items (such as buffalo wings, cheesy bread, Domino’s Buffalo Chicken Kickers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Cinna Stix</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Chocolate Lava Crunch Cakes) and value promotions as well as through marketing affiliations with brands such as Coca-Cola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Additionally, we may from time-to-time partner with other organizations in an effort to promote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We believe these opportunities, when coupled with our scale and share leadership, will allow us to grow our position in U.S. pizza delivery.</w:t>
      </w:r>
    </w:p>
    <w:p>
      <w:pPr>
        <w:spacing w:after="0" w:line="135" w:lineRule="exact"/>
        <w:rPr>
          <w:sz w:val="20"/>
          <w:szCs w:val="20"/>
          <w:color w:val="auto"/>
        </w:rPr>
      </w:pPr>
    </w:p>
    <w:p>
      <w:pPr>
        <w:ind w:right="80" w:firstLine="8"/>
        <w:spacing w:after="0" w:line="257" w:lineRule="auto"/>
        <w:tabs>
          <w:tab w:leader="none" w:pos="1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and optimize our domestic store base. </w:t>
      </w:r>
      <w:r>
        <w:rPr>
          <w:rFonts w:ascii="Times New Roman" w:cs="Times New Roman" w:eastAsia="Times New Roman" w:hAnsi="Times New Roman"/>
          <w:sz w:val="18"/>
          <w:szCs w:val="18"/>
          <w:color w:val="auto"/>
        </w:rPr>
        <w:t>We plan to continue expanding our base of domestic stores to take advantage of the attractive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in U.S. pizza delivery. We believe that our scale allows us to expand our store base with limited marketing, distribution and other incremental infrastructure costs. Additionally, our franchise-oriented business model allows us to expand our store base with limited capital expenditures and working capital requirements. While we plan to expand our traditional domestic store base primarily through opening new franchise stores, we will also continually evaluate our mix of Company-owned and franchise stores and strategically acquire franchise stores and refranchise Company-owned stores.</w:t>
      </w:r>
    </w:p>
    <w:p>
      <w:pPr>
        <w:spacing w:after="0" w:line="134" w:lineRule="exact"/>
        <w:rPr>
          <w:rFonts w:ascii="Times New Roman" w:cs="Times New Roman" w:eastAsia="Times New Roman" w:hAnsi="Times New Roman"/>
          <w:sz w:val="18"/>
          <w:szCs w:val="18"/>
          <w:color w:val="auto"/>
        </w:rPr>
      </w:pPr>
    </w:p>
    <w:p>
      <w:pPr>
        <w:ind w:right="60" w:firstLine="8"/>
        <w:spacing w:after="0" w:line="290" w:lineRule="auto"/>
        <w:tabs>
          <w:tab w:leader="none" w:pos="105"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Continue to grow our international business. </w:t>
      </w:r>
      <w:r>
        <w:rPr>
          <w:rFonts w:ascii="Times New Roman" w:cs="Times New Roman" w:eastAsia="Times New Roman" w:hAnsi="Times New Roman"/>
          <w:sz w:val="16"/>
          <w:szCs w:val="16"/>
          <w:color w:val="auto"/>
        </w:rPr>
        <w:t>We believe that pizza has global appeal and that there is strong and growing international demand for delivered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pizza. We have successfully built a broad international platform, almost exclusively through our master franchise model, as evidenced by our 4,072 international stores in more than 60 international markets. We believe that we continue to have significant long-term growth opportunities in international markets where we have established a leading presence. In our top ten international markets, we believe that our current store base is approximately half of the total long-term potential store base in those markets. Generally, we believe we will achieve long-term growth internationally as a result of the favorable store-level economics of our business model, the growing international demand for delivered pizza and the strong global recognition of the Domino’s Pizza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brand. Our international stores have produced positive quarterly same store sales growth for 64 consecutive quarters. Additionally, during 2009, we had 414 gross international store openings, including an 86-store conversion in Spain, which represented the largest number of gross store openings in the international segment’s history.</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Store operations</w:t>
      </w:r>
    </w:p>
    <w:p>
      <w:pPr>
        <w:spacing w:after="0" w:line="1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believe that our focused and proven store model provides a significant competitive advantage relative to many of our competitors who focus on multiple components of the pizza category, particularly dine-in. We have been focused primarily on pizza delivery for 49 years. Because our domestic stores and most of our international stores do not offer dine-in areas, they typically do not require expensive real estate, are relatively small and are relatively inexpensive to build and equip. Our stores also benefit from lower maintenance costs, as store assets have long lives and updates are not frequently required. Our simple and efficient operational processes, which we have refined through continuous improvement, include:</w:t>
      </w:r>
    </w:p>
    <w:p>
      <w:pPr>
        <w:spacing w:after="0" w:line="139"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store locations to facilitate delivery service;</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production-oriented store designs;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process innovations;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focused menu;</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order taking, production and delivery;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Domino’s PULSE™ point-of-sale system;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store audit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these factors, among other things, contributed to Domino’s Pizza being voted #1 in customer satisfaction in a 2009 survey of consumers of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largest limited service restaurants, according to the annual American Customer Satisfaction Index™ (ACSI).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store locations to facilitate delivery service</w:t>
      </w:r>
    </w:p>
    <w:p>
      <w:pPr>
        <w:spacing w:after="0" w:line="17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We locate our stores strategically to facilitate timely delivery service to our customers. The majority of our domestic stores are located in populated areas in or adjacent to large or mid-size cities, or on or near college campuses. We use geographic information software, which incorporates variables such as traffic volumes, competitor locations, household demographics and visibility, to evaluate and identify potential store locations and new markets.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Production-oriented store designs</w:t>
      </w:r>
    </w:p>
    <w:p>
      <w:pPr>
        <w:spacing w:after="0" w:line="17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Our typical store is relatively small, occupying approximately 1,000 to 1,300 square feet and is designed with a focus on efficient and timely production of consistently high quality pizza for delivery. The store layout has been refined over time to provide an efficient flow from order-taking to delivery. Our stores are primarily production facilities and accordingly, do not typically have a dine-in area.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process innovations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49 years of experience and innovative culture have resulted in numerous new product and process developments that increase both quality and efficiency. These include our efficient, vertically-integrated supply chain system, a sturdier corrugated pizza box and a mesh screen that helped cook pizza crust more evenly. The Domino’s HeatWave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hot bag, which was introduced in 1998, keeps our pizzas hot during delivery. We also continue to introduce new products such as Domino’s Oven Baked Sandwiches, launched in 2008, along with additional products launched in 2009, including Domino’s American Legends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pizzas and Domino’s BreadBowl Pasta™. Additionally, we have added a number of complementary side items to our menu such as buffalo wings, Domino’s Buffalo Chicken Kickers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bread sticks, cheesy bread, Cinna Stix</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Chocolate Lava Crunch Cakes, which were introduced in 2009. In the fourth quarter of 2009, we introduced our Inspired New Pizza, which was a change to our core pizza recipe.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Focused menu</w:t>
      </w:r>
    </w:p>
    <w:p>
      <w:pPr>
        <w:spacing w:after="0" w:line="17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We maintain a focused menu that is designed to present an attractive, quality offering to customers, while minimizing order errors, and expediting the order taking and food preparation processes. Our basic menu has three choices for pizza products: pizza type, pizza size and pizza toppings. Most of our stores carry two or three sizes of Traditional Hand-Tossed, Pan, Brooklyn Style and Crunchy Thin Crust pizza. Our typical store also offers Domino’s American Legends</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pizzas, Domino’s Oven Baked Sandwiches, Domino’s Bread Bowl Pasta™, buffalo wings, Domino’s Buffalo Chicken Kickers</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bread sticks, cheesy bread, Cinna Stix</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Chocolate Lava Crunch Cakes and Coca-Cola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soft drink products. We also occasionally offer other products on a promotional or a regional basis, such as salads. We believe that our focused menu creates a strong identity among consumers, improves operating efficiency and maintains food quality and consistency.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Efficient order taking, production and delivery</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store executes an operational process that includes order taking, pizza preparation, cooking (via automated, conveyor-driven ovens), boxing and delivery. The entire order taking and pizza production process is designed for completion in approximately 12-15 minutes. These operational processes are supplemented by an extensive employee training program designed to ensure world-class quality and customer service. It is our priority to ensure that every Domino’s store operates in an efficient, consistent manner while maintaining our high standards of food quality and team member safety.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Domino’s PULSE™ point-of-sale system</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computerized management information systems are designed to improve operating efficiencies, provide corporate management with timely access to financial and marketing data and reduce store and corporate administrative time and expense. We have installed Domino’s PULSE™, our proprietary point-of-sale system, in every Company-owned store in the United States and in substantially all of our domestic franchise stores. Some enhanced features of Domino’s PULSE™ over our previous point-of-sale system include:</w:t>
      </w:r>
    </w:p>
    <w:p>
      <w:pPr>
        <w:spacing w:after="0" w:line="136"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 screen ordering, which improves accuracy and facilitates more efficient order taking;</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delivery driver routing system, which improves delivery efficiency;</w:t>
      </w:r>
    </w:p>
    <w:p>
      <w:pPr>
        <w:spacing w:after="0" w:line="9" w:lineRule="exact"/>
        <w:rPr>
          <w:sz w:val="20"/>
          <w:szCs w:val="20"/>
          <w:color w:val="auto"/>
        </w:rPr>
      </w:pPr>
    </w:p>
    <w:p>
      <w:pPr>
        <w:ind w:right="920"/>
        <w:spacing w:after="0" w:line="323" w:lineRule="auto"/>
        <w:rPr>
          <w:sz w:val="20"/>
          <w:szCs w:val="20"/>
          <w:color w:val="auto"/>
        </w:rPr>
      </w:pPr>
      <w:r>
        <w:rPr>
          <w:rFonts w:ascii="Times New Roman" w:cs="Times New Roman" w:eastAsia="Times New Roman" w:hAnsi="Times New Roman"/>
          <w:sz w:val="16"/>
          <w:szCs w:val="16"/>
          <w:color w:val="auto"/>
        </w:rPr>
        <w:t>• improved administrative and reporting capabilities, which enable store managers to better focus on store operations and customer satisfaction; and • enhanced online ordering capability, including Pizza Tracker which was introduced in 2007 and Pizza Builder, which was introduced in 2008.</w:t>
      </w:r>
    </w:p>
    <w:p>
      <w:pPr>
        <w:spacing w:after="0" w:line="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the rollout of Domino’s PULSE™ to our domestic stores, we have been growing our online ordering transactions and currently, on average, 20% of our domestic stores’ sales originate through our online ordering platform. Recent industry data indicates that we have the largest share of online sales in the U.S. QSR pizza category. Additionally, we estimate that the Domino’s Pizza system is one of the largest on-line retailers in the U.S. in terms of the number of transactions. We intend to continue to enhance and grow our online ordering capabilities.</w:t>
      </w:r>
    </w:p>
    <w:p>
      <w:pPr>
        <w:spacing w:after="0" w:line="1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require our domestic franchisees to install and maintain Domino’s PULSE™. Additionally, Domino’s PULSE™ has been installed in over 1,400 international franchise stores.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store audit program</w:t>
      </w:r>
    </w:p>
    <w:p>
      <w:pPr>
        <w:spacing w:after="0" w:line="175"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We utilize a comprehensive store audit program to ensure that our stores are meeting both our stringent standards as well as the expectations of our customers. The audit program focuses primarily on the quality of the pizza the store is producing, the customer service the store is providing and the condition of the store as viewed by the customer. We believe that this store audit program is an integral part of our strategy to maintain high standards in our stores.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Segment overview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three business segments:</w:t>
      </w:r>
    </w:p>
    <w:p>
      <w:pPr>
        <w:spacing w:after="0" w:line="169" w:lineRule="exact"/>
        <w:rPr>
          <w:sz w:val="20"/>
          <w:szCs w:val="20"/>
          <w:color w:val="auto"/>
        </w:rPr>
      </w:pPr>
    </w:p>
    <w:p>
      <w:pPr>
        <w:ind w:right="80" w:firstLine="8"/>
        <w:spacing w:after="0" w:line="264" w:lineRule="auto"/>
        <w:tabs>
          <w:tab w:leader="none" w:pos="10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stores. </w:t>
      </w:r>
      <w:r>
        <w:rPr>
          <w:rFonts w:ascii="Times New Roman" w:cs="Times New Roman" w:eastAsia="Times New Roman" w:hAnsi="Times New Roman"/>
          <w:sz w:val="18"/>
          <w:szCs w:val="18"/>
          <w:color w:val="auto"/>
        </w:rPr>
        <w:t>Our domestic stores segment consists of our domestic franchise operations, which oversee our network of 4,461 franchise stores located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contiguous United States, and our domestic Company-owned store operations, which operate our network of 466 Company-owned stores located in the contiguous United States;</w:t>
      </w:r>
    </w:p>
    <w:p>
      <w:pPr>
        <w:spacing w:after="0" w:line="127" w:lineRule="exact"/>
        <w:rPr>
          <w:rFonts w:ascii="Times New Roman" w:cs="Times New Roman" w:eastAsia="Times New Roman" w:hAnsi="Times New Roman"/>
          <w:sz w:val="18"/>
          <w:szCs w:val="18"/>
          <w:i w:val="1"/>
          <w:iCs w:val="1"/>
          <w:color w:val="auto"/>
        </w:rPr>
      </w:pPr>
    </w:p>
    <w:p>
      <w:pPr>
        <w:ind w:right="80" w:firstLine="8"/>
        <w:spacing w:after="0" w:line="264" w:lineRule="auto"/>
        <w:tabs>
          <w:tab w:leader="none" w:pos="1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Our domestic supply chain segment operates 16 regional dough manufacturing and food supply chain centers, one thin crust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center, one supply chain center providing equipment and supplies to certain of our domestic and international stores and one vegetable processing supply chain center; and</w:t>
      </w:r>
    </w:p>
    <w:p>
      <w:pPr>
        <w:spacing w:after="0" w:line="127" w:lineRule="exact"/>
        <w:rPr>
          <w:rFonts w:ascii="Times New Roman" w:cs="Times New Roman" w:eastAsia="Times New Roman" w:hAnsi="Times New Roman"/>
          <w:sz w:val="18"/>
          <w:szCs w:val="18"/>
          <w:color w:val="auto"/>
        </w:rPr>
      </w:pPr>
    </w:p>
    <w:p>
      <w:pPr>
        <w:ind w:right="220" w:firstLine="8"/>
        <w:spacing w:after="0" w:line="342" w:lineRule="auto"/>
        <w:tabs>
          <w:tab w:leader="none" w:pos="10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International. </w:t>
      </w:r>
      <w:r>
        <w:rPr>
          <w:rFonts w:ascii="Times New Roman" w:cs="Times New Roman" w:eastAsia="Times New Roman" w:hAnsi="Times New Roman"/>
          <w:sz w:val="16"/>
          <w:szCs w:val="16"/>
          <w:color w:val="auto"/>
        </w:rPr>
        <w:t>Our international segment oversees our network of 4,072 international franchise stores in more than 60 international markets. Our international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segment also distributes food to a limited number of markets from six dough manufacturing and supply chain centers in Alaska, Hawaii and Canada (four).</w:t>
      </w: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stores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2009, our domestic stores segment accounted for $493.6 million, or 35% of our consolidated revenues. Our domestic franchises are operated by entrepreneurs who own and operate an average of three to four stores. Six of our domestic franchisees operate more than 50 stores, including our largest domestic franchisee who operates 143 stores. Our principal sources of revenues from domestic store operations are Company-owned store sales and royalty payments based on retail sales by our franchisees. Our domestic network of Company-owned stores also plays an important strategic role in our predominantly franchised operating structure. In addition to generating revenues and earnings, we use our domestic Company-owned stores as test sites for new products and promotions as well as store operational improvements and as forums for training new store managers and prospective franchisees. We also believe that our domestic Company-owned stores add to the economies of scale available for advertising, marketing and other costs that are primarily borne by our franchisees. While we continue to be primarily a franchised business, we continually evaluate our mix of domestic Company-owned and franchise stores in an effort to optimize our long-term profitability.</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domestic Company-owned store operations are divided into eleven geographic areas located throughout the contiguous United States while our domestic franchise operations are divided into four regions. Our team members within these areas provide direct supervision over our domestic Company-owned stores; provide training, store operational audits and marketing services and provide financial analysis and store development services to our franchisees. We maintain a close relationship with our franchise stores through regional franchise teams, an array of computer-based training materials that help franchise stores comply with our standards and franchise advisory groups that facilitate communications between us and our franchisees.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supply chain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2009, our domestic supply chain segment accounted for $763.7 million, or 54% of our consolidated revenues. Our domestic supply chain segment is comprised primarily of 16 regional dough manufacturing and supply chain centers that manufacture fresh dough on a daily basis and purchase, receive, store and deliver quality pizza-related food products and other complementary items to all of our Company-owned stores and over 99% of our domestic franchise stores. Each regional dough manufacturing and supply chain center serves approximately 300 stores, generally located within a one-day delivery radius. We regularly supply nearly 5,000 stores with various supplies and ingredients, of which, nine product groups account for over 90% of the volume. Our domestic supply chain segment made approximately 523,000 full-service deliveries in 2009 or approximately two deliveries per store, per week; and we produced over 264 million pounds of dough during 2009.</w:t>
      </w:r>
    </w:p>
    <w:p>
      <w:pPr>
        <w:spacing w:after="0" w:line="14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believe that our franchisees voluntarily choose to obtain food, supplies and equipment from us because we provide the most efficient, convenient and cost-effective alternative, while also providing both quality and consistency. In addition, our domestic supply chain segment offers a profit-sharing arrangement to stores that purchase all of their food from our domestic dough manufacturing and supply chain centers. This profit-sharing arrangement generally provides domestic Company-owned stores and participating franchisees with 50% of their regional supply chain center’s pre-tax profits. Profits are shared with the franchisees based upon each franchisee’s purchases from our supply chain centers. During 2009, we issued a record level of profit sharing payments to our franchisees in connection with this program. We believe these arrangements strengthen our ties with these franchisees.</w:t>
      </w:r>
    </w:p>
    <w:p>
      <w:pPr>
        <w:spacing w:after="0" w:line="13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The information systems used by our domestic dough manufacturing and supply chain centers are an integral part of the quality service we provide our stores. We use routing strategies and software to optimize our daily delivery schedules, which maximizes on-time deliveries. Through our strategic dough manufacturing and supply chain center locations and proven routing systems, we achieved an on-time delivery performance rate of approximately 92% during 2009. Our supply chain center drivers unload food and supplies and stock store shelves typically during non-peak store hours, which minimize disruptions in store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75"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During 2009, our international segment accounted for $146.8 million, or 11% of our consolidated revenues. We have 589 franchise stores in Mexico, 562 franchise stores in the United Kingdom, 411 franchise stores in Australia, 329 franchise stores in South Korea, 319 franchise stores in Canada, 296 franchise stores in India, and over 100 franchise stores in each of Japan, France, Turkey and Taiwan. The principal sources of revenues from our international operations are royalty payments generated by retail sales from franchise stores and sales of food and supplies to franchisees in certain markets.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grown by more than 1,300 international stores over the past five years. During 2009, we had 414 gross international store openings, including an 86-store conversion in Spain, which represented the largest number of gross store openings in the international segment’s history. We empower our managers and franchisees to adapt the standard operating model, within certain parameters, to satisfy the local eating habits and consumer preferences of various regions outside the contiguous United States. Currently, most of our international stores are operated under master franchise agreements, and we plan to continue entering into master franchise agreements with qualified franchisees to expand our international operations in selected countries. We believe that our international franchise stores appeal to potential franchisees because of our well-recognized brand name, the limited capital expenditures required to open and operate our stores and our system’s favorable store economics. The following table shows our store count as of January 3, 2010 in our top ten international markets, which account for 76% of our international stores.</w:t>
      </w:r>
    </w:p>
    <w:p>
      <w:pPr>
        <w:spacing w:after="0" w:line="173" w:lineRule="exact"/>
        <w:rPr>
          <w:sz w:val="20"/>
          <w:szCs w:val="20"/>
          <w:color w:val="auto"/>
        </w:rPr>
      </w:pPr>
    </w:p>
    <w:tbl>
      <w:tblPr>
        <w:tblLayout w:type="fixed"/>
        <w:tblInd w:w="3440" w:type="dxa"/>
        <w:tblCellMar>
          <w:top w:w="0" w:type="dxa"/>
          <w:left w:w="0" w:type="dxa"/>
          <w:bottom w:w="0" w:type="dxa"/>
          <w:right w:w="0" w:type="dxa"/>
        </w:tblCellMar>
      </w:tblPr>
      <w:tr>
        <w:trPr>
          <w:trHeight w:val="159"/>
        </w:trPr>
        <w:tc>
          <w:tcPr>
            <w:tcW w:w="26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179"/>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stores</w:t>
            </w: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franchise program</w:t>
      </w:r>
    </w:p>
    <w:p>
      <w:pPr>
        <w:spacing w:after="0" w:line="169"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As of January 3, 2010, our 4,461 domestic franchise stores were owned and operated by our 1,161 domestic franchisees. The success of our franchise formula, which enables franchisees to benefit from our brand name with a relatively low initial capital investment, has attracted a large number of motivated entrepreneurs as franchisees. As of January 3, 2010, the average domestic franchisee owned and operated three to four stores and had been in our franchise system for twelve years. At the same time, six of our domestic franchisees operated more than 50 stores, including our largest domestic franchisee who operates 143 stores.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franchisees</w:t>
      </w:r>
    </w:p>
    <w:p>
      <w:pPr>
        <w:spacing w:after="0" w:line="175"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We apply rigorous standards to prospective franchisees. We generally require prospective domestic franchisees to manage a store for at least one year before being granted a franchise. This enables us to observe the operational and financial performance of a potential franchisee prior to entering into a long-term contract. We also generally restrict the ability of domestic franchisees to become involved in other businesses, which focuses our franchisees’ attention on operating their stores. As a result, the vast majority of our franchisees come from within the Domino’s Pizza system. We believe these standards are largely unique to the franchise industry and result in qualified and focused franchisees operating their stores.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agreements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enter into franchise agreements with domestic franchisees under which the franchisee is granted the right to operate a store in a particular location for a term of ten years, with options to renew for an additional term of ten years. We currently have a franchise contract renewal rate of over 99%. Under the current standard franchise agreement, we assign an exclusive area of primary responsibility to each franchise store. During the term of the franchise agreement, the franchisee is required to pay a 5.5% royalty fee on sales, subject, in limited instances, to lower rates based on area development agreements, sales initiatives and new store incentives. We have the contractual right, subject to state law, to terminate a franchise agreement for a variety of reasons, including, but not limited to, a franchisee’s failure to make required payments when due or failure to adhere to specified Company policies and standards.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store development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provide domestic franchisees with assistance in selecting store sites and conforming the space to the physical specifications required for a Domino’s Pizza store. Each domestic franchisee selects the location and design for each store, subject to our approval, based on accessibility and visibility of the site and demographic factors, including population density and anticipated traffic levels. We provide design plans and sell fixtures and equipment to most of our franchise stores.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training and support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Training store managers and employees is a critical component of our success. We require all domestic franchisees to complete initial and ongoing training programs provided by us. In addition, under the standard domestic franchise agreement, domestic franchisees are required to implement training programs for their store employees. We assist our domestic and international franchisees by making training materials available to them for their use in training store managers and employees, including computer-based training materials, comprehensive operations manuals and franchise development classes. We also maintain communications with our franchisees online through various newsletters and through face-to-face meetings.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enforce stringent standards over franchise operations to protect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All franchisees are required to operate their stores in compliance with written policies, standards and specifications, which include matters such as menu items, ingredients, materials, supplies, services, furnishings, decor and signs. Each franchisee has significant discretion to determine the prices to be charged to customers. We also provide ongoing support to our franchisees, including training, marketing assistance and consultation to franchisees who experience financial or operational difficulties. We have established several advisory boards, through which franchisees contribute to developing system-wide initiatives.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franchisees</w:t>
      </w:r>
    </w:p>
    <w:p>
      <w:pPr>
        <w:spacing w:after="0" w:line="1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The vast majority of our markets outside of the contiguous United States are operated by master franchisees with franchise and distribution rights for entire regions or countries. In select regions or countries, we franchise directly to individual store operators. Our master franchise agreements generally grant the franchisee exclusive rights to develop or sub-franchise stores and the right to operate supply chain centers in a particular geographic area for a term of ten to twenty years, with options to renew for additional terms. The agreements typically contain growth clauses requiring franchisees to open a minimum number of stores within a specified period. Prospective master franchisees are required to possess or have access to local market knowledge required to establish and develop Domino’s Pizza stores. The local market knowledge focuses on the ability to identify and access targeted real estate sites along with expertise in local customs, culture, consumer behavior and laws. We also seek candidates that have access to sufficient capital to meet their growth and development plans. The master franchisee is generally required to pay an initial, one-time franchise fee as well as an additional franchise fee upon the opening of each new store. In addition, the master franchisee is required to pay a continuing royalty fee as a percentage of retail sales, which varies among international markets.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Marketing operations</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our recent history, depending on the fiscal year, our domestic stores have contributed 4% or 5% of their retail sales to fund national marketing and advertising campaigns, with additional required contributions to market-level programs. However, during 2009, all domestic franchisees amended their master franchise agreements to require a contribution of 5.5% of their retail sales to fund national marketing and advertising campaigns and to eliminate the required market-level contributions, beginning in 2010. In those markets where we have co-operative advertising programs, our domestic stores are still able to contribute to market-level media campaigns at their discretion. These national and market-level funds are administered by Domino’s National Advertising Fund Inc., or DNAF, our not-for-profit advertising subsidiary. The funds remitted to DNAF are used primarily to purchase media for advertising, but also support market research, field communications, public relations, commercial production, talent payments and other activities supporting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DNAF also provides cost-effective print materials to our domestic stores for use in local marketing that reinforce our national branding strategy. In addition to the national and market-level advertising contributions, domestic stores spend additional amounts on local store marketing, including targeted database mailings, saturation print mailings and community involvement through school and civic organizations. Additionally, we may from time-to-time partner with other organizations in an effort to promote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communicating a common brand message at the national, local market and store levels, we create and reinforce a powerful, consistent marketing message to consumers. This is evidenced by our previous marketing campaigns with the slogans “Get the Door. It’s Domino’s.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“You Got 30 Minutes.™” as well as our current marketing campaign with the slogan “Oh Yes We Did.” Over the past five years, we estimate that domestic stores have invested approximately $1.4 billion on national, local and co-operative advertising.</w:t>
      </w:r>
    </w:p>
    <w:p>
      <w:pPr>
        <w:spacing w:after="0" w:line="13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Internationally, marketing efforts are primarily the responsibility of the franchisee in each local market. We assist international franchisees with their marketing efforts through marketing workshops and sharing of best practices and successful concepts.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Third-party suppliers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maintained active relationships of 15 years or more with more than half of our major suppliers. Our suppliers are required to meet strict quality standards to ensure food safety. We review and evaluate our suppliers’ quality assurance programs through, among other actions, on-site visits, third party audits and product evaluations to ensure compliance with our standards. We believe that the length and quality of our relationships with suppliers provides us with priority service and quality products at competitive prices.</w:t>
      </w:r>
    </w:p>
    <w:p>
      <w:pPr>
        <w:spacing w:after="0" w:line="136"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We believe that two factors have been critical to maintaining long-lasting relationships and keeping our purchasing costs low. First, we are one of the largest domestic volume purchasers of pizza-related products such as flour, cheese, sauce and pizza boxes, which allows us to maximize leverage with our suppliers when items are put out for bid on a scheduled basis. Second, we use a combination of single-source and multi-source procurement strategies. Each supply category is evaluated along a number of criteria including value of purchasing leverage, consistency of quality and reliability of supply to determine the appropriate number of suppliers.</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currently purchase our pizza cheese from a single supplier. In 2007, the Company entered into a new arrangement with this supplier. Under this arrangement, the supplier agreed to provide an uninterrupted supply of cheese and the Company agreed to a five-year pricing period during which it agreed to purchase all of its primary pizza cheese for the Company’s domestic stores from this supplier or, alternatively, pay to the supplier an amount reflecting any benefit previously received by the Company under the new pricing terms. The pricing schedule is directly correlated to the CME block cheddar price. The majority of our meat toppings come from a single supplier under a contract that began in July 2008 and expires in July 2010. We have the right to terminate these arrangements for quality failures and for uncured breaches.</w:t>
      </w:r>
    </w:p>
    <w:p>
      <w:pPr>
        <w:spacing w:after="0" w:line="13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alternative suppliers for all of these ingredients are available, and all of our pizza boxes, sauces and other ingredients are sourced from various suppliers. While we may incur additional costs if we are required to replace any of our suppliers, we do not believe that such additional costs would have a material adverse effect on our business. We also entered into a multi-year agreement with Coca-Cola effective January 1, 2003 for the contiguous United States. The contract provides for Coca-Cola to be our exclusive beverage supplier and expires at such time as a minimum number of cases of Coca-Cola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products are purchased by us. We continually evaluate each supply category to determine the optimal sourcing strategy.</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not experienced any significant shortages of supplies or any delays in receiving our food or beverage inventories, restaurant supplies or products. The current economic environment has created additional financial pressures for some of our suppliers; however we do not currently anticipate disruptions in our supplies. Prices charged to us by our suppliers are subject to fluctuation and we have historically been able to pass increased costs and savings on to our stores. We may periodically enter into financial instruments to manage the risk from changes in commodity prices. We do not engage in speculative transactions nor do we hold or issue financial instruments for trading purposes.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Competition</w:t>
      </w:r>
    </w:p>
    <w:p>
      <w:pPr>
        <w:spacing w:after="0" w:line="16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U.S. and international pizza delivery and carry-out are highly competitive. Domestically, we compete against regional and local companies as well as national chains Pizza Hut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Papa John’s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Internationally, we compete primarily against Pizza Hut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regional and local companies. We generally compete on the basis of product quality, location, image, service and price. We also compete on a broader scale with quick service and other international, national, regional and local restaurants. In addition, the overall food service industry and the QSR sector in particular are intensely competitive with respect to product quality, price, service, convenience and concept. The industry is often affected by changes in consumer tastes, economic conditions, demographic trends and consumers’ disposable income. We compete within the food service industry and the QSR sector not only for customers, but also for personnel, suitable real estate sites and qualified franchisees.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Government regulation</w:t>
      </w:r>
    </w:p>
    <w:p>
      <w:pPr>
        <w:spacing w:after="0" w:line="16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We are subject to various federal, state and local laws affecting the operation of our business, as are our franchisees, including various health, sanitation, fire and safety standards.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also subject to the Fair Labor Standards Act and various other federal and state laws governing such matters as minimum wage requirements, overtime and other working conditions and citizenship requirements. A significant number of our food service personnel are paid at rates related to the applicable minimum wage, and past increases in the minimum wage have increased our labor costs as would future increases.</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the rules and regulations of the Federal Trade Commission and various state laws regulating the offer and sale of franchises. The Federal Trade Commission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the net worth of our operating subsidiary, Domino’s Pizza LLC and experience. Substantive state laws that regulate the franchisor-franchisee relationship presently exist in a substantial number of states, and bills have been introduced in Congress from time to time that would provide for federal regulation of the franchisor-franchisee relationship. The state laws often limit, among other things, the duration and scope of non-competition provisions, the ability of a franchisor to terminate or refuse to renew a franchise and the ability of a franchisor to designate sources of supply. We believe that our franchise disclosure document, together with any applicable state versions or supplements, and franchising procedures comply in all material respects with both the Federal Trade Commission guidelines and all applicable state laws regulating franchising in those states in which we have offered franchises.</w:t>
      </w:r>
    </w:p>
    <w:p>
      <w:pPr>
        <w:spacing w:after="0" w:line="143"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Internationally, our franchise stores are subject to national and local laws and regulations that often are similar to those affecting our domestic stores, including laws and regulations concerning franchises, labor, health, sanitation and safety. Our international stores are also often subject to tariffs and regulations on imported commodities and equipment, and laws regulating foreign investment. We believe that our international disclosure statements, franchise offering documents and franchising procedures comply in all material respects with the laws of the foreign countries in which we have offered franchises.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Trademarks</w:t>
      </w:r>
    </w:p>
    <w:p>
      <w:pPr>
        <w:spacing w:after="0" w:line="1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have many registered trademarks and service marks and believe that the Domino’s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mark and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Environmental matters</w:t>
      </w:r>
    </w:p>
    <w:p>
      <w:pPr>
        <w:spacing w:after="0" w:line="169"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We are not aware of any federal, state or local environmental laws or regulations that will materially affect our earnings or competitive position, or result in material capital expenditures. However, we cannot predict the effect of possible future environmental legislation or regulations. During 2009, there were no material capital expenditures for environmental control facilities, and no such material expenditures are anticipated in 2010.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Employees</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January 3, 2010, we had approximately 10,200 employees, who we refer to as team members, in our Company-owned stores, supply chain centers, World Resource Center (our corporate headquarters) and regional offices. As franchisees are independent business owners, they and their employees are not included in our employee count. We consider our relationship with our employees and franchisees to be good. We estimate the total number of people who work in the Domino’s Pizza system, including our employees, franchisees and the employees of franchisees, was over 180,000 as of January 3, 2010.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represented by a labor union or covered by a collective bargaining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Safety</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commitment to safety is embodied in our hiring, training and review process. Before an applicant is considered for hire as a delivery driver in the United States, motor vehicle records are reviewed to ensure a minimum safe driving record of one or two years. In addition, we require regular checks of driving records and proof of insurance for delivery drivers throughout their employment with us. Each domestic Domino’s driver, including drivers employed by franchisees, are required to complete our safe delivery training program. We have also implemented several safe driving incentive programs.</w:t>
      </w:r>
    </w:p>
    <w:p>
      <w:pPr>
        <w:spacing w:after="0" w:line="13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Our safety and security department oversees security matters for our domestic Company-owned stores. Regional security and safety directors oversee security measures at domestic Company-owned store locations and assist local authorities in investigations of incidents involving our stores or personnel.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Community activities</w:t>
      </w:r>
    </w:p>
    <w:p>
      <w:pPr>
        <w:spacing w:after="0" w:line="16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believe in supporting the communities we serve, and we base our corporate giving on three simple elements: delivering charitable support to our own team members, to our customers, and to national programs.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Philanthropic Partner</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 tradition of creating multi-year partnerships with a national charity to raise funds and public awareness for the organization. Our current national philanthropic partner is St. Jude Children’s Research Hospital. St. Jude is internationally recognized for its pioneering work in finding cures and saving children with cancer and other catastrophic diseases. Through a variety of internal and consumer-based activities, including a national fundraising campaign called Thanks and Giving, the Domino’s Pizza system has contributed more than $6.5 million to St. Jude during our six years of partnership, including $2.0 million in 2009. In addition to raising funds, the Domino’s Pizza system has supported St. Jude through in-kind donations including hosting hospital-wide pizza parties for patients and their families. The Domino’s Pizza system also helps St. Jude build awareness through the inclusion of the St. Jude logo on millions of our pizza boxes and through a link on our consumer web site.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Domino’s Pizza Partners Foundation</w:t>
      </w:r>
    </w:p>
    <w:p>
      <w:pPr>
        <w:spacing w:after="0" w:line="175" w:lineRule="exact"/>
        <w:rPr>
          <w:sz w:val="20"/>
          <w:szCs w:val="20"/>
          <w:color w:val="auto"/>
        </w:rPr>
      </w:pPr>
    </w:p>
    <w:p>
      <w:pPr>
        <w:jc w:val="both"/>
        <w:ind w:right="540"/>
        <w:spacing w:after="0" w:line="262" w:lineRule="auto"/>
        <w:rPr>
          <w:sz w:val="20"/>
          <w:szCs w:val="20"/>
          <w:color w:val="auto"/>
        </w:rPr>
      </w:pPr>
      <w:r>
        <w:rPr>
          <w:rFonts w:ascii="Times New Roman" w:cs="Times New Roman" w:eastAsia="Times New Roman" w:hAnsi="Times New Roman"/>
          <w:sz w:val="18"/>
          <w:szCs w:val="18"/>
          <w:color w:val="auto"/>
        </w:rPr>
        <w:t>Founded in 1986, the mission of the Partners Foundation is “Team Members Helping Team Members.” Completely funded by team member and franchise contributions, the foundation is a separate, not-for-profit organization that has disbursed nearly $8.0 million since its inception, to meet the needs of team members facing crisis situations, ranging from fire, accidents, illness or other personal tragedies.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Domino’s Pizza Contributions</w:t>
      </w:r>
    </w:p>
    <w:p>
      <w:pPr>
        <w:spacing w:after="0" w:line="175" w:lineRule="exact"/>
        <w:rPr>
          <w:sz w:val="20"/>
          <w:szCs w:val="20"/>
          <w:color w:val="auto"/>
        </w:rPr>
      </w:pPr>
    </w:p>
    <w:p>
      <w:pPr>
        <w:ind w:right="940"/>
        <w:spacing w:after="0" w:line="275" w:lineRule="auto"/>
        <w:rPr>
          <w:sz w:val="20"/>
          <w:szCs w:val="20"/>
          <w:color w:val="auto"/>
        </w:rPr>
      </w:pPr>
      <w:r>
        <w:rPr>
          <w:rFonts w:ascii="Times New Roman" w:cs="Times New Roman" w:eastAsia="Times New Roman" w:hAnsi="Times New Roman"/>
          <w:sz w:val="18"/>
          <w:szCs w:val="18"/>
          <w:color w:val="auto"/>
        </w:rPr>
        <w:t>Over the last four years, the Domino’s Pizza system has directly contributed as well as helped raise approximately $9.0 million to external charitable organizations in monetary and in-kind giving.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Franchisee Involvement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work that we do in the community on a corporate level, we are proud to have the support of more than 2,000 franchisees around the world who choose to get involved with local charities to make a difference in their communities. Franchisees participate in numerous local programs with schools, hospitals and other charitable organizations, delivering pizzas and offering monetary support. Franchisees also support specific initiatives such as the Delivering the Dough fundraising card program. Launched in 2004, this program assists not-for-profit organizations in raising funds, and generated an estimated $4.4 million for not-for-profits in its first year alone.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6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operate research and product development facilities at our World Resource Center in Ann Arbor, Michigan. Company-sponsored research and development activities, which include, among other things, testing new products for possible menu additions, are an important activity to us and our franchisees. We do not consider the amounts spent on research and development to be material.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169" w:lineRule="exact"/>
        <w:rPr>
          <w:sz w:val="20"/>
          <w:szCs w:val="20"/>
          <w:color w:val="auto"/>
        </w:rPr>
      </w:pPr>
    </w:p>
    <w:p>
      <w:pPr>
        <w:jc w:val="both"/>
        <w:ind w:right="540"/>
        <w:spacing w:after="0" w:line="310" w:lineRule="auto"/>
        <w:rPr>
          <w:sz w:val="20"/>
          <w:szCs w:val="20"/>
          <w:color w:val="auto"/>
        </w:rPr>
      </w:pPr>
      <w:r>
        <w:rPr>
          <w:rFonts w:ascii="Times New Roman" w:cs="Times New Roman" w:eastAsia="Times New Roman" w:hAnsi="Times New Roman"/>
          <w:sz w:val="16"/>
          <w:szCs w:val="16"/>
          <w:color w:val="auto"/>
        </w:rPr>
        <w:t>We maintain insurance coverage for general liability, owned and non-owned automobile liability, workers’ compensation, employment practices liability, directors’ and officers’ liability, fiduciary, property (including leaseholds and equipment, as well as business interruption), commercial crime, global risks, product contamination and other coverages in such form and with such limits as we believe are customary for a business of our size and type.</w:t>
      </w:r>
    </w:p>
    <w:p>
      <w:pPr>
        <w:spacing w:after="0" w:line="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retention programs for workers’ compensation, general liability and owned and non-owned automobile liabilities for certain periods prior to December 1998 and for periods after December 2001. We are generally responsible for up to $1.0 million per occurrence under these retention programs for workers’ compensation and general liability. We are also generally responsible for between $500,000 and $3.0 million per occurrence under these retention programs for owned and non-owned automobile liabilities. Pursuant to the terms of our standard franchise agreement, franchisees are also required to maintain minimum levels of insurance coverage at their expense and to have us named as an additional insured on their liability policies.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Working capital</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Information about the Company’s working capital is included in Management’s Discussion and Analysis of Financial Condition and Results of Operations in Part II, Item 7., page 37.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Customers</w:t>
      </w:r>
    </w:p>
    <w:p>
      <w:pPr>
        <w:spacing w:after="0" w:line="16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Company’s business is not dependent upon a single customer or small group of customers, including franchisees. No customer accounted for more than 10% of total consolidated revenues in 2007, 2008 or 2009.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Seasonal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is not typically seasonal.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Backlog orders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backlog orders as of January 3, 2010.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Government contracts</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No material portion of the Company’s business is subject to renegotiation of profits or termination of contracts or subcontracts at the election of the United States government.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information about business segments and geographic areas</w:t>
      </w:r>
    </w:p>
    <w:p>
      <w:pPr>
        <w:spacing w:after="0" w:line="16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Financial information about international and United States markets and business segments is incorporated herein by reference to Selected Financial Data, Management’s Discussion and Analysis of Financial Condition and Results of Operations and the consolidated financial statements and related footnotes in Part II, Item 6., pages 25 through 26, Item 7., pages 27 through 42 and Item 8., pages 44 through 76, respectively, of this Form 10-K.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makes available, free of charge, through its internet website </w:t>
      </w:r>
      <w:r>
        <w:rPr>
          <w:rFonts w:ascii="Times New Roman" w:cs="Times New Roman" w:eastAsia="Times New Roman" w:hAnsi="Times New Roman"/>
          <w:sz w:val="18"/>
          <w:szCs w:val="18"/>
          <w:u w:val="single" w:color="auto"/>
          <w:color w:val="auto"/>
        </w:rPr>
        <w:t>www.dominosbiz.com</w:t>
      </w:r>
      <w:r>
        <w:rPr>
          <w:rFonts w:ascii="Times New Roman" w:cs="Times New Roman" w:eastAsia="Times New Roman" w:hAnsi="Times New Roman"/>
          <w:sz w:val="18"/>
          <w:szCs w:val="18"/>
          <w:color w:val="auto"/>
        </w:rPr>
        <w:t xml:space="preserve"> its annual report on Form 10-K, quarterly reports on Form 10-Q, current reports on Form 8-K, proxy statements and amendments to those reports filed or furnished pursuant to Section 13(a) or 15(d) of the Securities Exchange Act of 1934, as amended, as soon as reasonably practicable after electronically filing such material with the Securities and Exchange Commission. You may read and copy any materials filed with the Securities and Exchange Commission at the Securities and Exchange Commission’s Public Reference Room at 100 F Street, NE, Washington, DC 20549. You may obtain information on the operation of the Public Reference Room by calling the Securities and Exchange Commission at 1-800-SEC-0330. This information is also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reference to these website addresses does not constitute incorporation by reference of the information contained on the websites and should not be considered part of this document.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pizza category is highly competitive and such competition could adversely affect our operating results.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compete in the United States against two national chains, as well as many regional and local businesses. We could experience increased competition from existing or new companies in the pizza category which could create increasing pressures to grow our business in order to maintain our market share. If we are unable to maintain our competitive position, we could experience downward pressure on prices, lower demand for our products, reduced margins, the inability to take advantage of new business opportunities and the loss of market share, all of which would have an adverse effect on our operating results and could cause our stock price to decline.</w:t>
      </w:r>
    </w:p>
    <w:p>
      <w:pPr>
        <w:spacing w:after="0" w:line="139"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We also compete on a broader scale with quick service and other international, national, regional and local restaurants. The overall food service market and the quick service restaurant sector are intensely competitive with respect to food quality, price, service, image, convenience and concept, and are often affected by changes in:</w:t>
      </w:r>
    </w:p>
    <w:p>
      <w:pPr>
        <w:spacing w:after="0" w:line="132" w:lineRule="exact"/>
        <w:rPr>
          <w:sz w:val="20"/>
          <w:szCs w:val="20"/>
          <w:color w:val="auto"/>
        </w:rPr>
      </w:pPr>
    </w:p>
    <w:p>
      <w:pPr>
        <w:ind w:left="120" w:hanging="112"/>
        <w:spacing w:after="0"/>
        <w:tabs>
          <w:tab w:leader="none" w:pos="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tastes;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regional or local economic conditions;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purchasing power;</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trends;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related to our international operations.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We compete within the food service market and the quick service restaurant sector not only for customers, but also for management and hourly employees, suitable real estate sites and qualified franchisees. Our domestic supply chain segment is also subject to competition from outside suppliers. If other suppliers who meet our qualification standards were to offer lower prices or better service to our franchisees for their ingredients and supplies and, as a result, our franchisees chose not to purchase from our domestic supply chain centers, our financial condition, business and results of operations would be adversely affected.</w:t>
      </w:r>
    </w:p>
    <w:p>
      <w:pPr>
        <w:spacing w:after="0" w:line="9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growth strategy, which includes opening new domestic and international stores, our ability to increase our revenues and operating profits could be adversely affected.</w:t>
      </w:r>
    </w:p>
    <w:p>
      <w:pPr>
        <w:spacing w:after="0" w:line="11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 significant component of our growth strategy includes the opening of new domestic and international stores. We and our franchisees face many challenges in opening new stores, including, among others:</w:t>
      </w:r>
    </w:p>
    <w:p>
      <w:pPr>
        <w:spacing w:after="0" w:line="120" w:lineRule="exact"/>
        <w:rPr>
          <w:sz w:val="20"/>
          <w:szCs w:val="20"/>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with acceptable terms;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availability of suitable store locations;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 of acceptable lease or financing terms;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required domestic or foreign governmental permits and approvals;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training of qualified personnel;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5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opening of additional franchise stores also depends, in part, upon the availability of prospective franchisees who meet our criteria. Our failure to add a significant number of new stores would adversely affect our ability to increase revenues and operating income.</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currently planning to expand our international operations in many of the markets where we currently operate and in selected new markets. This may require considerable management time as well as start-up expenses for market development before any significant revenues and earnings are generated. Operations in new foreign markets may achieve low margins or may be unprofitable, and expansion in existing markets may be affected by local economic and market conditions. Therefore, as we expand internationally, we or our franchisees may not experience the operating margins we expect, our results of operations may be negatively impacted and our common stock price may decline.</w:t>
      </w:r>
    </w:p>
    <w:p>
      <w:pPr>
        <w:spacing w:after="0" w:line="13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We may also pursue strategic acquisitions as part of our business. If we are able to identify acquisition candidates, such acquisitions may be financed, to the extent permitted under our debt agreements, with substantial debt or with potentially dilutive issuances of equity securities.</w:t>
      </w:r>
    </w:p>
    <w:p>
      <w:pPr>
        <w:spacing w:after="0" w:line="11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food service market is affected by consumer preferences and perceptions. Changes in these preferences and perceptions may lessen the demand for our products, which would reduce sales and harm our business.</w:t>
      </w:r>
    </w:p>
    <w:p>
      <w:pPr>
        <w:spacing w:after="0" w:line="1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Food service businesses are affected by changes in consumer tastes, national, regional and local economic conditions, and demographic trends. For instance, if prevailing health or dietary preferences cause consumers to avoid pizza and other products we offer in favor of foods that are perceived as more healthy, our business and operating results would be harmed. Also, if demand for our recently introduced Inspired New Pizza does not resonate with consumers, our business and operating results could be harmed. Moreover, because we are primarily dependent on a single product, if consumer demand for pizza should decrease, our business would suffer more than if we had a more diversified menu, as many other food service businesses do.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other costs could adversely affect our profitability and operating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increase in our operating costs could adversely affect our profitability. Factors such as inflation, increased food costs, increased labor and employee benefit costs and increased energy costs may adversely affect our operating costs. Most of the factors affecting costs are beyond our control and, in many cases, we may not be able to pass along these increased costs to our customers or franchisees. Most ingredients used in our pizza, particularly cheese, are subject to significant price fluctuations as a result of seasonality, weather, demand and other factors. The cheese block price per pound averaged $1.29 in 2009, and the estimated increase in Company-owned store food costs from a hypothetical $0.25 adverse change in the average cheese block price per pound would have been approximately $2.1 million in 2009. Labor costs are largely a function of the minimum wage for a majority of our store personnel and certain supply chain center personnel and, generally, are also a function of the availability of labor. Food, including cheese costs and labor represent approximately 50% to 60% of a typical Company-owned store’s sales.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business and limit our ability to plan for or respond to changes in our business.</w:t>
      </w:r>
    </w:p>
    <w:p>
      <w:pPr>
        <w:spacing w:after="0" w:line="17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As a result of the 2007 Recapitalization, we hold a substantial amount of indebtedness and are highly leveraged. As of January 3, 2010, our consolidated long-term indebtedness was approximately $1.57 billion. We may also incur additional debt, which would not be prohibited under the terms of the securitized debt. Our substantial indebtedness could have important consequences to our business and our shareholders. For example, it could:</w:t>
      </w:r>
    </w:p>
    <w:p>
      <w:pPr>
        <w:spacing w:after="0" w:line="132" w:lineRule="exact"/>
        <w:rPr>
          <w:sz w:val="20"/>
          <w:szCs w:val="20"/>
          <w:color w:val="auto"/>
        </w:rPr>
      </w:pPr>
    </w:p>
    <w:p>
      <w:pPr>
        <w:ind w:right="4920"/>
        <w:spacing w:after="0" w:line="289" w:lineRule="auto"/>
        <w:rPr>
          <w:sz w:val="20"/>
          <w:szCs w:val="20"/>
          <w:color w:val="auto"/>
        </w:rPr>
      </w:pPr>
      <w:r>
        <w:rPr>
          <w:rFonts w:ascii="Times New Roman" w:cs="Times New Roman" w:eastAsia="Times New Roman" w:hAnsi="Times New Roman"/>
          <w:sz w:val="16"/>
          <w:szCs w:val="16"/>
          <w:color w:val="auto"/>
        </w:rPr>
        <w:t>• make it more difficult for us to satisfy our obligations with respect to our debt agreements; • increase our vulnerability to general adverse economic and industry conditions;</w:t>
      </w:r>
    </w:p>
    <w:p>
      <w:pPr>
        <w:sectPr>
          <w:pgSz w:w="11900" w:h="16838" w:orient="portrait"/>
          <w:cols w:equalWidth="0" w:num="1">
            <w:col w:w="11400"/>
          </w:cols>
          <w:pgMar w:left="240" w:top="455" w:right="25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require us to dedicate a substantial portion of our cash flow from operations to payments on our indebtedness, thereby reducing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availability of our cash</w:t>
      </w:r>
    </w:p>
    <w:p>
      <w:pPr>
        <w:spacing w:after="0" w:line="32" w:lineRule="exact"/>
        <w:rPr>
          <w:sz w:val="20"/>
          <w:szCs w:val="20"/>
          <w:color w:val="auto"/>
        </w:rPr>
      </w:pPr>
    </w:p>
    <w:p>
      <w:pPr>
        <w:sectPr>
          <w:pgSz w:w="11900" w:h="16838" w:orient="portrait"/>
          <w:cols w:equalWidth="0" w:num="2">
            <w:col w:w="9320" w:space="120"/>
            <w:col w:w="196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flow for other purposes; and</w:t>
      </w:r>
    </w:p>
    <w:p>
      <w:pPr>
        <w:sectPr>
          <w:pgSz w:w="11900" w:h="16838" w:orient="portrait"/>
          <w:cols w:equalWidth="0" w:num="1">
            <w:col w:w="11400"/>
          </w:cols>
          <w:pgMar w:left="240" w:top="455" w:right="25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limit our flexibility in planning for, or reacting to, changes in our business and the industry in which we operate, thereby placing us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a competitive</w:t>
      </w:r>
    </w:p>
    <w:p>
      <w:pPr>
        <w:spacing w:after="0" w:line="32" w:lineRule="exact"/>
        <w:rPr>
          <w:sz w:val="20"/>
          <w:szCs w:val="20"/>
          <w:color w:val="auto"/>
        </w:rPr>
      </w:pPr>
    </w:p>
    <w:p>
      <w:pPr>
        <w:sectPr>
          <w:pgSz w:w="11900" w:h="16838" w:orient="portrait"/>
          <w:cols w:equalWidth="0" w:num="2">
            <w:col w:w="9320" w:space="140"/>
            <w:col w:w="19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disadvantage compared to our competitors that may have less debt.</w:t>
      </w:r>
    </w:p>
    <w:p>
      <w:pPr>
        <w:sectPr>
          <w:pgSz w:w="11900" w:h="16838" w:orient="portrait"/>
          <w:cols w:equalWidth="0" w:num="1">
            <w:col w:w="11400"/>
          </w:cols>
          <w:pgMar w:left="240" w:top="455" w:right="259" w:bottom="1440" w:gutter="0" w:footer="0" w:header="0"/>
          <w:type w:val="continuous"/>
        </w:sectPr>
      </w:pPr>
    </w:p>
    <w:p>
      <w:pPr>
        <w:spacing w:after="0" w:line="182"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9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1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effect any other action relating to our indebtedness on satisfactory terms or at all, our business may be harmed.</w:t>
      </w:r>
    </w:p>
    <w:p>
      <w:pPr>
        <w:spacing w:after="0" w:line="109"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senior and subordinated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136"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we conduct;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securitized debt also requires us to maintain a specified financial ratio at the end of each fiscal quarter. These restrictions could affect our ability to pay dividends or repurchase shares of our common stock. Our ability to meet this financial ratio can be affected by events beyond our control, and we may not satisfy such a test. A breach of this covenant could result in a rapid amortization event or default under the securitized debt. If amounts owed under the securitized debt are accelerated because of a default under the securitized debt and we are unable to pay such amounts, the insurers have the right to assume control of substantially all of the securitized assets.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In the event that one or both of the insurance companies that provide financial guaranties of our fixed and variable funding note payments were to become the subject of insolvency or similar proceedings, our lenders would not be required to fund our variable funding notes. Additionally, under the terms of our indenture governing our notes, an event of default would occur if: (i) one or both of the insurance companies were to become the subject of insolvency or similar proceedings and (ii) the related insurance policies were not continued or sold to a third party (who would assume one or both of the insurance companies’ obligations under the related policies), but instead were terminated or canceled as a result of those proceedings. In an event of default, all unpaid amounts under the fixed and variable rate notes could become immediately due and payable at the direction or consent of holders of a majority of the outstanding fixed rate notes or the remaining insurance company that is not the subject of insolvency or similar proceedings. Such acceleration of our debt could have a material adverse effect on our liquidity if we were unable to negotiate mutually acceptable terms with our lenders or if alternate funding were not available to us.</w:t>
      </w:r>
    </w:p>
    <w:p>
      <w:pPr>
        <w:spacing w:after="0" w:line="1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expect that, during the first five years following issuance, the senior notes will accrue interest at a fixed rate of 5.261% per year and the subordinated notes will accrue interest at a fixed rate of 7.629%. If we are not able to exercise either of our two one-year extension options following the five-year interest-only period, our securitized debt will be subject to principal amortization and may also be subject to an increased interest rate if it is not repaid or refinanced. If we do exercise one or both extensions, then we may be subject to an increased interest rate.</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are unable to refinance or repay amounts under the securitized debt prior to the expiration of the five-year interest-only term (six or seven-year interest-only term if we satisfy certain conditions and exercise one or both of our one-year extension elections), our cash flow would be directed to the repayment of the securitized debt and, other than a weekly servicing fee sufficient to cover minimal selling, general and administrative expenses, would not be available for operating our business.</w:t>
      </w:r>
    </w:p>
    <w:p>
      <w:pPr>
        <w:spacing w:after="0" w:line="136"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w:t>
      </w:r>
    </w:p>
    <w:p>
      <w:pPr>
        <w:spacing w:after="0" w:line="12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securitized debt will restrict the cash flow from the entities subject to the securitization to any of our other entities and upon the occurrence of certain events, cash flow would be further restricted.</w:t>
      </w:r>
    </w:p>
    <w:p>
      <w:pPr>
        <w:spacing w:after="0" w:line="11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the event that a rapid amortization event occurs under the indenture (including, without limitation, upon an event of default under the indenture or the failure to repay the securitized debt at the end of the five year interest-only period (or at the end of any extension period)), the funds available to us would be reduced or eliminated, which would in turn reduce our ability to operate or grow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certain of our suppliers, and as a result they could seek to significantly increase prices or fail to deliver.</w:t>
      </w:r>
    </w:p>
    <w:p>
      <w:pPr>
        <w:spacing w:after="0" w:line="175"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8"/>
          <w:szCs w:val="18"/>
          <w:color w:val="auto"/>
        </w:rPr>
        <w:t>We do not have written contracts or formal long-term arrangements with certain of our suppliers. Although in the past we have not experienced significant problems with our suppliers, our suppliers may implement significant price increases or may not meet our requirements in a timely fashion, if at all. The occurrence of any of the foregoing could have a material adverse effect on our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or interruptions in the supply or delivery of fresh food products could adversely affect our operating results.</w:t>
      </w:r>
    </w:p>
    <w:p>
      <w:pPr>
        <w:spacing w:after="0" w:line="17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and our franchisees are dependent on frequent deliveries of fresh food products that meet our specifications. Shortages or interruptions in the supply of fresh food products caused by unanticipated demand, problems in production or distribution, financial or other difficulties of suppliers, inclement weather or other conditions could adversely affect the availability, quality and cost of ingredients, which would adversely affect our operating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prolonged disruption in the operations of any of our dough manufacturing and supply chain centers could harm our business.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operate 16 regional dough manufacturing and supply chain centers, one thin crust manufacturing center and one vegetable processing supply chain center in the contiguous United States and a total of six dough manufacturing and supply chain centers in Alaska, Hawaii and Canada. Our domestic dough manufacturing and supply chain centers service all of our Company-owned stores and over 99% of our domestic franchise stores. As a result, any prolonged disruption in the operations of any of these facilities, whether due to technical or labor difficulties, destruction or damage to the facility, real estate issues or other reasons, could adversely affect our business and operating results.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risks of litigation and negative publicity from customers, franchisees, employees and others in the ordinary course of business, which diverts our financial and management resources. Any adverse litigation or publicity may negatively impact our financial condition and results of operations.</w:t>
      </w:r>
    </w:p>
    <w:p>
      <w:pPr>
        <w:spacing w:after="0" w:line="1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Claims of illness or injury relating to food quality or food handling are common in the food service industry. In addition, class action lawsuits have been filed, and may continue to be filed, against various quick service restaurants alleging, among other things, that quick service restaurants have failed to disclose the health risks associated with high-fat foods and that quick service restaurant marketing practices have encouraged obesity. In addition to decreasing our sales and profitability and diverting our management resources, adverse publicity or a substantial judgment against us could negatively impact our financial condition, results of operations and brand reputation, thereby hindering our ability to attract and retain franchisees and grow our business.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may be subject to employee, franchisee and other claims in the future based on, among other things, discrimination, harassment, wrongful termination and wage, rest break and meal break issues, and those claims relating to overtime compensation. We have been subject to these types of claims in the past, and in 2007, settled a purported class action claim of this type in California relating to rest break and meal break compensation. If one or more of these claims were to be successful or if there is a significant increase in the number of these claims or if we receive significant negative publicity, our business, financial condition and operating results could be harmed.</w:t>
      </w:r>
    </w:p>
    <w:p>
      <w:pPr>
        <w:spacing w:after="0" w:line="135"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Loss of key personnel or our inability to attract and retain new qualified personnel could hurt our business and inhibit our ability to operate and grow successfully.</w:t>
      </w:r>
    </w:p>
    <w:p>
      <w:pPr>
        <w:spacing w:after="0" w:line="1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success in the highly competitive business of pizza delivery will continue to depend to a significant extent on our leadership team and other key management personnel. Other than with our President and Chief Executive Officer elect, J. Patrick Doyle, who was named to this position in February 2010, we do not have long-term employment agreements with any of our executive officers. As a result, we may not be able to retain our executive officers and key personnel or attract additional qualified management. Our success also will continue to depend on our ability to attract and retain qualified personnel to operate our stores, dough manufacturing and supply chain centers and international operations. The loss of these employees or our inability to recruit and retain qualified personnel could have a material adverse effect on our operating results.</w:t>
      </w:r>
    </w:p>
    <w:p>
      <w:pPr>
        <w:spacing w:after="0" w:line="135"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 Such risks and costs may differ in each country in which we do business and may cause our profitability to decline due to increased costs.</w:t>
      </w:r>
    </w:p>
    <w:p>
      <w:pPr>
        <w:spacing w:after="0" w:line="115"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We conduct a growing portion of our business outside the United States. Our financial condition and results of operations may be adversely affected if global markets in which our franchise stores compete are affected by changes in political, economic or other factors. These factors, over which neither we nor our franchisees have control, may include:</w:t>
      </w:r>
    </w:p>
    <w:p>
      <w:pPr>
        <w:spacing w:after="0" w:line="132"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or expansive trends in international markets;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labor conditions and difficulties in staffing and managing our foreign operations;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taxes we pay and other changes in applicable tax laws;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and the burdens and costs of our compliance with a variety of foreign laws;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inflation rates;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 and the imposition of restrictions on currency conversion or the transfer of funds;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our royalties and longer payment cycles;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private enterprises;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external factors.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value of the U.S. dollar in relation to other currencies may lead to lower revenues and earnings.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Exchange rate fluctuations could have an adverse effect on our results of operations. Approximately 8.7% of our total revenues in 2007, 10.0% of our total revenues in 2008 and 10.5% of our total revenues in 2009 were derived from our international segment, a majority of which were denominated in foreign currencies. Sales made by our stores outside the United States are denominated in the currency of the country in which the store is located, and this currency could become less valuable prior to conversion to U.S. dollars as a result of exchange rate fluctuations. Unfavorable currency fluctuations could lead to increased prices to customers outside the United States or lower profitability to our franchisees outside the United States, or could result in lower revenues for us, on a U.S. dollar basis, from such customers and franchisees.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1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depend in large part on our brand and branded products and believe that they are very important to our business. We rely on a combination of trademarks, copyrights, service marks, trade secrets and similar intellectual property rights to protect our brand and branded products. The success of our business depends on our continued ability to use our existing trademarks and service marks in order to increase brand awareness and further develop our branded products in both domestic and international markets. We have registered certain trademarks and have other trademark registrations pending in the United States and foreign jurisdictions. Not all of the trademarks that we currently use have been registered in all of the countries in which we do business, and they may never be registered in all of these countries. We may not be able to adequately protect our trademarks and our use of these trademarks may result in liability for trademark infringement, trademark dilution or unfair competition. All of the steps we have taken to protect our intellectual property in the United States and in foreign countries may not be adequate. In addition, the laws of some foreign countries do not protect intellectual property rights to the same extent as the laws of the United States. Further, through acquisitions of third parties, we may acquire brands and related trademarks that are subject to the same risks as the brands and trademarks we currently own.</w:t>
      </w:r>
    </w:p>
    <w:p>
      <w:pPr>
        <w:spacing w:after="0" w:line="14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may from time to time be required to institute litigation to enforce our trademarks or other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128"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growth strategy depends on the success of our franchisees and we may be harmed by actions taken by our franchisees, or employees of our franchisees, that are outside of our control.</w:t>
      </w:r>
    </w:p>
    <w:p>
      <w:pPr>
        <w:spacing w:after="0" w:line="11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A significant portion of our earnings comes from royalties generated by our franchise stores. Franchisees are independent operators, and their employees are not our employees. We provide limited training and support to franchisees, but the quality of franchise store operations may be diminished by any number of factors beyond our control. Consequently, franchisees may not successfully operate stores in a manner consistent with our standards and requirements, or may not hire and train qualified managers and other store personnel. If they do not, our image and reputation may suffer, and as a result our revenues and stock price could decline. While we try to ensure that our franchisees maintain the quality of our brand and branded products, our franchisees may take actions that adversely affect the value of our intellectual property or reputation. As of January 3, 2010, we had 1,161 domestic franchisees operating 4,461 domestic stores. Six of these franchisees each operate over 50 domestic stores, including our largest domestic franchisee who operates 143 stores, and the average franchisee owns and operates three to four stores. In addition, our international master franchisees are generally responsible for the development of significantly more stores than our domestic franchisees. As a result, our international operations are more closely tied to the success of a smaller number of franchisees than our domestic operations. Our largest international master franchisee operates 755 stores in five markets, which accounts for approximately 19% of our total international store count. Our domestic and international franchisees may not operate their franchises successfully. If one or more of our key franchisees were to become insolvent or otherwise were unable or unwilling to pay us our royalties or other amounts owed, our business and results of operations would be adversely affected.</w:t>
      </w:r>
    </w:p>
    <w:p>
      <w:pPr>
        <w:spacing w:after="0" w:line="33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Interruption, failure or compromise of our information technology, communications systems and electronic data could hurt our ability to effectively serve our customers and protect customer data, which could damage our reputation and adversely affect our business and operating results.</w:t>
      </w:r>
    </w:p>
    <w:p>
      <w:pPr>
        <w:spacing w:after="0" w:line="1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 increasingly significant portion of our retail sales depends on the continuing operation of our information technology and communications systems, including but not limited to, Domino’s PULSE™, our online ordering platform and our credit card processing systems. Our information technology, communication systems and electronic data may be vulnerable to damage or interruption from earthquakes, terrorist attacks, floods, fires, power loss, telecommunications failures, computer viruses, loss of data, unauthorized data breaches or other attempts to harm our systems. Additionally, we operate data centers that are also subject to break-ins, sabotage and intentional acts of vandalism that could cause disruptions in our ability to serve our customers and protect customer data. Some of our systems are not fully redundant, and our disaster recovery planning cannot account for all eventualities. The occurrence of a natural disaster, intentional sabotage or other unanticipated problems could result in lengthy interruptions in our service. Any errors or vulnerabilities in our systems, or damage to or failure of our systems, could result in interruptions in our services and non-compliance with certain regulations, which could reduce our revenues and profits, and damage our business and brand.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requirements issued by other groups and our failure to comply with existing or increased regulations could adversely affect our business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numerous federal, state, local and foreign laws and regulations, as well as, requirements issued by other groups, including those relating to:</w:t>
      </w:r>
    </w:p>
    <w:p>
      <w:pPr>
        <w:spacing w:after="0" w:line="171"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sale of food;</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zoning requirements;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 overtime and other labor requirements;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securities laws and New York Stock Exchange listed company rules;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Americans with Disabilities Act;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and safety conditions;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menu labeling and other nutritional requirements;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Payment Card Industry Data Security Standards (PCI DSS) and similar requirements.</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may become subject to legislation or regulation seeking to tax and/or regulate high-fat foods. If we fail to comply with existing or future laws and regulations, we may be subject to governmental or judicial fines or sanctions. In addition, our capital expenditures could increase due to remediation measures that may be required if we are found to be noncompliant with any of these laws or regulations.</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also subject to a Federal Trade Commission rule and to various state and foreign laws that govern the offer and sale of franchises. Additionally,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 and operating results.</w:t>
      </w:r>
    </w:p>
    <w:p>
      <w:pPr>
        <w:spacing w:after="0" w:line="13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retention programs for workers’ compensation, general liability and owned and non-owned automobile liabilities. We are generally responsible for up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per occurrence under these retention programs for workers’ compensation and general liability. We are also generally responsible for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and $3.0 million per occurrence under these retention programs for owned and non-owned automobile liabilities. Total insurance limits under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programs vary depending upon the period covered and range up to $110.0 million per occurrence for general liability and owned and non-owned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automobile liabilities and up to the applicable statutory limits for workers’ compensation. These insurance policies may not be adequate to protect us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that we incur in our business. In addition, in the future our insurance premiums may increase and we may not be able to obtain similar levels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insurance on reasonable terms, or at all. Any such inadequacy of, or inability to obtain insurance coverage could have a material adverse effect on our business,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We are not required to, and do not, specifically set aside funds for our retention programs.</w:t>
      </w:r>
    </w:p>
    <w:p>
      <w:pPr>
        <w:spacing w:after="0" w:line="15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share price may decline significantly.</w:t>
      </w:r>
    </w:p>
    <w:p>
      <w:pPr>
        <w:spacing w:after="0" w:line="115"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Our sales and operating results can vary significantly from quarter to quarter and year to year depending on various factors, many of which are beyond our control. These factors include, among other things:</w:t>
      </w:r>
    </w:p>
    <w:p>
      <w:pPr>
        <w:spacing w:after="0" w:line="120" w:lineRule="exact"/>
        <w:rPr>
          <w:sz w:val="20"/>
          <w:szCs w:val="20"/>
          <w:color w:val="auto"/>
        </w:rPr>
      </w:pPr>
    </w:p>
    <w:p>
      <w:pPr>
        <w:ind w:left="120" w:hanging="112"/>
        <w:spacing w:after="0"/>
        <w:tabs>
          <w:tab w:leader="none" w:pos="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timing and volume of our sales and our franchisees’ sales;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sales;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promotions by us and our competitors;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and economic conditions generally;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availability of our ingredients or labor;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15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As a result, our operational performance may decline quickly and significantly in response to changes in order patterns or rapid decreases in demand for our products. We anticipate that fluctuations in operating results will continue in the future.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current principal stockholders have significant influence over us, and they could delay, deter or prevent a change of control or other business combination or otherwise cause us to take action with which you may disagree.</w:t>
      </w:r>
    </w:p>
    <w:p>
      <w:pPr>
        <w:spacing w:after="0" w:line="11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Investment funds associated with Bain Capital, LLC together beneficially own approximately 29% of our outstanding common stock. In addition, two of our directors are representatives of investment funds associated with Bain Capital, LLC. As a result, these investment funds associated with Bain Capital, LLC have significant influence over our decision to enter into any corporate transaction and may have the ability to prevent any transaction that requires the approval of stockholders regardless of whether or not other stockholders believe that such transaction is in their own best interests. Such concentration of voting power could have the effect of delaying, deterring or preventing a change of control or other business combination that might otherwise be beneficial to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could be subject to significant fluctuations and/or may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Among the factors that could affect our stock price are:</w:t>
      </w:r>
    </w:p>
    <w:p>
      <w:pPr>
        <w:spacing w:after="0" w:line="171"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revenues or earnings estimates or publication of research reports by analysts;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sales promotions, acquisitions or restructurings;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and other stockholders;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values of public companies that operate in our business segments;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factors unrelated to our performance.</w:t>
      </w:r>
    </w:p>
    <w:p>
      <w:pPr>
        <w:spacing w:after="0" w:line="15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stock markets in general have recently experienced volatility that has sometimes been unrelated to the operating performance of particular companies. These broad market fluctuations may cause the trading price of our common stock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We lease approximately 210,000 square feet for our World Resource Center located in Ann Arbor, Michigan under an operating lease with Domino’s Farms Office Park, L.L.C. The lease, as amended, expires in December 2013 and has two five-year renewal options.</w:t>
      </w:r>
    </w:p>
    <w:p>
      <w:pPr>
        <w:spacing w:after="0" w:line="12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own four domestic Company-owned store buildings and five supply chain center buildings. We also own five store buildings that we lease to domestic franchisees. All other domestic Company-owned stores are leased by us, typically under five-year leases with one or two five-year renewal options. All other domestic supply chain centers are leased by us, typically under leases ranging between five and 15 years with one or two five-year renewal options. All other franchise stores are leased or owned directly by the respective franchisees. We believe that our existing headquarters and other leased and owned facilities are adequate to meet our current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2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While we may occasionally be party to large claims, including class action suits, we do not believe that these matters, individually or in the aggregate, will materially affect our financial position,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40"/>
          </w:cols>
          <w:pgMar w:left="240" w:top="455" w:right="3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As of February 23, 2010, Domino’s Pizza, Inc. had 170,000,000 authorized shares of common stock, par value $0.01 per share, of which 58,757,267 were issued and outstanding. Domino’s Pizza, Inc.’s common stock is traded on the New York Stock Exchange (“NYSE”) under the ticker symbol “DPZ.”</w:t>
      </w:r>
    </w:p>
    <w:p>
      <w:pPr>
        <w:spacing w:after="0" w:line="12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high and low closing prices by quarter for Domino’s Pizza, Inc.’s common stock, as reported by the NYSE, and dividends declared per common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2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w w:val="93"/>
              </w:rPr>
              <w:t>Dividends</w:t>
            </w:r>
          </w:p>
        </w:tc>
      </w:tr>
      <w:tr>
        <w:trPr>
          <w:trHeight w:val="149"/>
        </w:trPr>
        <w:tc>
          <w:tcPr>
            <w:tcW w:w="6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Declared</w:t>
            </w:r>
          </w:p>
        </w:tc>
      </w:tr>
      <w:tr>
        <w:trPr>
          <w:trHeight w:val="179"/>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2008:</w:t>
            </w:r>
          </w:p>
        </w:tc>
        <w:tc>
          <w:tcPr>
            <w:tcW w:w="2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w w:val="94"/>
              </w:rPr>
              <w:t>Per Share</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(December 31, 2007 – March 23, 2008)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8"/>
              </w:rPr>
              <w:t>14.51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3"/>
              </w:rPr>
              <w:t>11.59</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(March 24, 2008 – June 15, 2008)</w:t>
            </w:r>
          </w:p>
        </w:tc>
        <w:tc>
          <w:tcPr>
            <w:tcW w:w="266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8"/>
              </w:rPr>
              <w:t>14.92</w:t>
            </w:r>
          </w:p>
        </w:tc>
        <w:tc>
          <w:tcPr>
            <w:tcW w:w="26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3"/>
              </w:rPr>
              <w:t>12.59</w:t>
            </w:r>
          </w:p>
        </w:tc>
        <w:tc>
          <w:tcPr>
            <w:tcW w:w="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(June 16, 2008 – September 7, 2008)</w:t>
            </w:r>
          </w:p>
        </w:tc>
        <w:tc>
          <w:tcPr>
            <w:tcW w:w="2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8"/>
              </w:rPr>
              <w:t>13.98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3"/>
              </w:rPr>
              <w:t>10.23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Fourth quarter (September 8, 2008 – December 28, 2008)</w:t>
            </w:r>
          </w:p>
        </w:tc>
        <w:tc>
          <w:tcPr>
            <w:tcW w:w="2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98"/>
              </w:rPr>
              <w:t>13.50</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2.83</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6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(December 29, 2008 – March 22, 2009)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4.40</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(March 23, 2009 – June 14, 2009)</w:t>
            </w:r>
          </w:p>
        </w:tc>
        <w:tc>
          <w:tcPr>
            <w:tcW w:w="266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9.67</w:t>
            </w:r>
          </w:p>
        </w:tc>
        <w:tc>
          <w:tcPr>
            <w:tcW w:w="26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6.42</w:t>
            </w:r>
          </w:p>
        </w:tc>
        <w:tc>
          <w:tcPr>
            <w:tcW w:w="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(June 15, 2009 – September 6, 2009)</w:t>
            </w:r>
          </w:p>
        </w:tc>
        <w:tc>
          <w:tcPr>
            <w:tcW w:w="26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7.25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Fourth quarter (September 7, 2009 – January 3, 2010)</w:t>
            </w:r>
          </w:p>
        </w:tc>
        <w:tc>
          <w:tcPr>
            <w:tcW w:w="2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assessment of any future dividends will be made based on our projected future cash flows, our debt and other payment obligations, the benefits of retaining and reinvesting future cash flows, and other factors our board of directors may deem relevant. Whether any future dividends are paid, and the actual amount of any dividends, will depend upon future earnings, results of operations, capital requirements, our financial condition and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2010, there were 609 registered holders of record of Domino’s Pizza, Inc.’s common stock.</w:t>
      </w:r>
    </w:p>
    <w:p>
      <w:pPr>
        <w:spacing w:after="0" w:line="17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In connection with the 2007 Recapitalization, our board of directors approved an open market share repurchase program for up to $200.0 million of the Company’s common stock, which will be funded by future free cash flow. The Company made no repurchases of common stock during the fourth quarter of 2009.</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comparative stock performance line graph below compares the cumulative shareholder return on the common stock of Domino’s Pizza, Inc. for the five-year period between December 31, 2004 through December 31, 2009, with cumulative total return on (i) the Total Return Index for the New York Stock Exchange (the “NYSE Composite Index”), (ii) the Standard &amp; Poors 500 Index, and (iii) the Peer Group Index. The companies which comprise the Peer Group Index reflect the Company’s scope of operations and the competitive market in the restaurant industry. The Peer Group Index is comprised of the following six companies:</w:t>
      </w:r>
    </w:p>
    <w:p>
      <w:pPr>
        <w:spacing w:after="0" w:line="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McDonald’s Corporation; YUM! Brands, Inc.; Papa John’s, Inc.; Wendy’s/Arby’s Group, Inc.; Jack in the Box Inc.; and CKE Restaurants, Inc. This Index has been weighted by market capitalization of each component company. In addition, the Papa John’s, Inc., Jack in the Box Inc. and YUM! Brands, Inc. stock price during the timeframe of the performance graph has been retroactively adjusted for the stock splits that occurred. Wendy’s/Arby’s Group, Inc. stock price has been retroactively adjusted for the merger that occurred in 2008. The cumulative total return computations set forth in the performance graph assume the investment of $100 in the Company’s common stock, the NYSE Composite Index, the Standard &amp; Poor’s 500 Index and the Peer Group Index on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130810</wp:posOffset>
            </wp:positionV>
            <wp:extent cx="5360035" cy="3104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003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selected financial data set forth below should be read in conjunction with, and is qualified by reference to, Management’s Discussion and Analysis of Financial Condition and Results of Operations and the consolidated financial statements and related notes included in this Form 10-K. The selected financial data below, with the exception of store counts and same store sales growth, have been derived from the audited consolidated financial statements of Domino’s Pizza, Inc. and subsidiaries. This historical data is not necessarily indicative of results to be expected for any future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04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65"/>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540" w:type="dxa"/>
            <w:vAlign w:val="bottom"/>
          </w:tcPr>
          <w:p>
            <w:pPr>
              <w:spacing w:after="0"/>
              <w:rPr>
                <w:sz w:val="14"/>
                <w:szCs w:val="14"/>
                <w:color w:val="auto"/>
              </w:rPr>
            </w:pPr>
          </w:p>
        </w:tc>
        <w:tc>
          <w:tcPr>
            <w:tcW w:w="8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420" w:type="dxa"/>
            <w:vAlign w:val="bottom"/>
          </w:tcPr>
          <w:p>
            <w:pPr>
              <w:spacing w:after="0"/>
              <w:rPr>
                <w:sz w:val="14"/>
                <w:szCs w:val="14"/>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38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2007 (4)</w:t>
            </w:r>
          </w:p>
        </w:tc>
        <w:tc>
          <w:tcPr>
            <w:tcW w:w="340" w:type="dxa"/>
            <w:vAlign w:val="bottom"/>
          </w:tcPr>
          <w:p>
            <w:pPr>
              <w:spacing w:after="0"/>
              <w:rPr>
                <w:sz w:val="14"/>
                <w:szCs w:val="14"/>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6"/>
              </w:rPr>
              <w:t>2010 (5)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401.0</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393.4</w:t>
            </w: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394.6</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357.7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Domestic franchise</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161.9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157.7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158.1</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153.9</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 stores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562.9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551.1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552.6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511.6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 supply chain</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819.1</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762.8</w:t>
            </w:r>
          </w:p>
        </w:tc>
        <w:tc>
          <w:tcPr>
            <w:tcW w:w="38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783.3</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771.1</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129.6</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123.4</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126.9</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142.4</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92"/>
              </w:rPr>
              <w:t>1,511.6</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1,437.3</w:t>
            </w:r>
          </w:p>
        </w:tc>
        <w:tc>
          <w:tcPr>
            <w:tcW w:w="38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1,462.9</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1,425.1</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92"/>
              </w:rPr>
              <w:t>1,126.3</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1,052.8</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1,084.0</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1,061.9</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385.3</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384.5</w:t>
            </w:r>
          </w:p>
        </w:tc>
        <w:tc>
          <w:tcPr>
            <w:tcW w:w="38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378.9</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363.3</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186.2</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170.3</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184.9</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168.2</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199.1</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214.2</w:t>
            </w:r>
          </w:p>
        </w:tc>
        <w:tc>
          <w:tcPr>
            <w:tcW w:w="38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193.9</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195.0</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(48.8)</w:t>
            </w:r>
          </w:p>
        </w:tc>
        <w:tc>
          <w:tcPr>
            <w:tcW w:w="42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(130.4)</w:t>
            </w:r>
          </w:p>
        </w:tc>
        <w:tc>
          <w:tcPr>
            <w:tcW w:w="340" w:type="dxa"/>
            <w:vAlign w:val="bottom"/>
          </w:tcPr>
          <w:p>
            <w:pPr>
              <w:spacing w:after="0"/>
              <w:rPr>
                <w:sz w:val="18"/>
                <w:szCs w:val="18"/>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(114.9)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22.1</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173.3</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160.4</w:t>
            </w:r>
          </w:p>
        </w:tc>
        <w:tc>
          <w:tcPr>
            <w:tcW w:w="38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55.6</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65.0</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54.2</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28.9</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108.3</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106.2</w:t>
            </w: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37.9</w:t>
            </w:r>
          </w:p>
        </w:tc>
        <w:tc>
          <w:tcPr>
            <w:tcW w:w="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Earnings per share:</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0.61</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0.93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0.93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0.40</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13.50</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end of period):</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66.9</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78.9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(2)</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461.1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380.2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473.2</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463.8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5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702.4</w:t>
            </w:r>
          </w:p>
        </w:tc>
        <w:tc>
          <w:tcPr>
            <w:tcW w:w="4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740.1</w:t>
            </w:r>
          </w:p>
        </w:tc>
        <w:tc>
          <w:tcPr>
            <w:tcW w:w="38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1,704.8</w:t>
            </w:r>
          </w:p>
        </w:tc>
        <w:tc>
          <w:tcPr>
            <w:tcW w:w="3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1,704.4</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737.7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741.6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1,720.1</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1,704.8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(511.0)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(564.9)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(1,450.1)</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(1,424.6)</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(1,321.0)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65"/>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2006</w:t>
            </w:r>
          </w:p>
        </w:tc>
        <w:tc>
          <w:tcPr>
            <w:tcW w:w="420" w:type="dxa"/>
            <w:vAlign w:val="bottom"/>
          </w:tcPr>
          <w:p>
            <w:pPr>
              <w:spacing w:after="0"/>
              <w:rPr>
                <w:sz w:val="14"/>
                <w:szCs w:val="14"/>
                <w:color w:val="auto"/>
              </w:rPr>
            </w:pPr>
          </w:p>
        </w:tc>
        <w:tc>
          <w:tcPr>
            <w:tcW w:w="10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4"/>
                <w:szCs w:val="14"/>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2007 (4)</w:t>
            </w:r>
          </w:p>
        </w:tc>
        <w:tc>
          <w:tcPr>
            <w:tcW w:w="400" w:type="dxa"/>
            <w:vAlign w:val="bottom"/>
          </w:tcPr>
          <w:p>
            <w:pPr>
              <w:spacing w:after="0"/>
              <w:rPr>
                <w:sz w:val="14"/>
                <w:szCs w:val="14"/>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2010 (5)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   32.4</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32.3</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28.4</w:t>
            </w: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   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42.4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19.4</w:t>
            </w:r>
          </w:p>
        </w:tc>
        <w:tc>
          <w:tcPr>
            <w:tcW w:w="11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Same store sales growth (3):</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Domestic franchise stores</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stores</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9"/>
                <w:szCs w:val="19"/>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counts (at end of period):</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581</w:t>
            </w:r>
          </w:p>
        </w:tc>
        <w:tc>
          <w:tcPr>
            <w:tcW w:w="420" w:type="dxa"/>
            <w:vAlign w:val="bottom"/>
          </w:tcPr>
          <w:p>
            <w:pPr>
              <w:spacing w:after="0"/>
              <w:rPr>
                <w:sz w:val="18"/>
                <w:szCs w:val="18"/>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489</w:t>
            </w: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franchise stores</w:t>
            </w:r>
          </w:p>
        </w:tc>
        <w:tc>
          <w:tcPr>
            <w:tcW w:w="142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4,511</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4,572</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4,584</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4,558</w:t>
            </w: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Domestic stores</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5,092</w:t>
            </w:r>
          </w:p>
        </w:tc>
        <w:tc>
          <w:tcPr>
            <w:tcW w:w="420" w:type="dxa"/>
            <w:vAlign w:val="bottom"/>
          </w:tcPr>
          <w:p>
            <w:pPr>
              <w:spacing w:after="0"/>
              <w:rPr>
                <w:sz w:val="18"/>
                <w:szCs w:val="18"/>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5,143</w:t>
            </w:r>
          </w:p>
        </w:tc>
        <w:tc>
          <w:tcPr>
            <w:tcW w:w="40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5,155</w:t>
            </w:r>
          </w:p>
        </w:tc>
        <w:tc>
          <w:tcPr>
            <w:tcW w:w="40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5,047</w:t>
            </w: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stores</w:t>
            </w:r>
          </w:p>
        </w:tc>
        <w:tc>
          <w:tcPr>
            <w:tcW w:w="142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2,987</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3,223</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3,469</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3,726</w:t>
            </w: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4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8,079</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8,366</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8,624</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8,773</w:t>
            </w:r>
          </w:p>
        </w:tc>
        <w:tc>
          <w:tcPr>
            <w:tcW w:w="11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200" w:hanging="452"/>
        <w:spacing w:after="0" w:line="26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for fiscal 2005 is a gain recognized on the sale of an equity investment. The fiscal 2007 Other amount represents the premium paid to bond holders in the tender offer for the Domino’s, Inc. senior subordinated notes due 2011. The fiscal 2009 Other amount represents the gains recognized on the repurchase and retirement of principal on the fixed rate senior notes.</w:t>
      </w:r>
    </w:p>
    <w:p>
      <w:pPr>
        <w:spacing w:after="0" w:line="17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working capital amounts exclude restricted cash amounts of $81.0 million in 2007, $78.9 million in 2008 and $91.1 million in 2009.</w:t>
      </w:r>
    </w:p>
    <w:p>
      <w:pPr>
        <w:spacing w:after="0" w:line="211" w:lineRule="exact"/>
        <w:rPr>
          <w:rFonts w:ascii="Times New Roman" w:cs="Times New Roman" w:eastAsia="Times New Roman" w:hAnsi="Times New Roman"/>
          <w:sz w:val="18"/>
          <w:szCs w:val="18"/>
          <w:color w:val="auto"/>
        </w:rPr>
      </w:pPr>
    </w:p>
    <w:p>
      <w:pPr>
        <w:ind w:left="460" w:right="180" w:hanging="452"/>
        <w:spacing w:after="0" w:line="258"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growth is calculated including only sales from stores that also had sales in the comparable period of the prior year, but excluding sales from certain seasonal locations such as stadiums and concert arenas. International same store sales growth is calculated similarly to domestic same store sales growth. Changes in international same store sales are reported on a constant dollar basis which reflects changes in international local currency sales.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fiscal 2009 had no impact on reported same store sales growth amounts.</w:t>
      </w:r>
    </w:p>
    <w:p>
      <w:pPr>
        <w:spacing w:after="0" w:line="176" w:lineRule="exact"/>
        <w:rPr>
          <w:rFonts w:ascii="Times New Roman" w:cs="Times New Roman" w:eastAsia="Times New Roman" w:hAnsi="Times New Roman"/>
          <w:sz w:val="18"/>
          <w:szCs w:val="18"/>
          <w:color w:val="auto"/>
        </w:rPr>
      </w:pPr>
    </w:p>
    <w:p>
      <w:pPr>
        <w:ind w:left="460" w:right="20" w:hanging="452"/>
        <w:spacing w:after="0" w:line="286" w:lineRule="auto"/>
        <w:tabs>
          <w:tab w:leader="none" w:pos="4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our recapitalization in 2007, Domino’s Pizza, Inc. borrowed $780.0 million under a bridge term loan facility. We used the proceeds from the borrowings under the bridge term loan facility to purchase 2,242 shares of common stock for approximately $0.1 million, repay $463.0 million principal amount of then outstanding borrowings under the 2003 term loans plus accrued interest and related fees and retire at a $13.3 million premium $273.6 million in aggregate principal amount of Domino’s, Inc. 8 </w:t>
      </w:r>
      <w:r>
        <w:rPr>
          <w:rFonts w:ascii="Times New Roman" w:cs="Times New Roman" w:eastAsia="Times New Roman" w:hAnsi="Times New Roman"/>
          <w:sz w:val="10"/>
          <w:szCs w:val="10"/>
          <w:color w:val="auto"/>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6"/>
          <w:szCs w:val="16"/>
          <w:color w:val="auto"/>
        </w:rPr>
        <w:t>% senior subordinated notes due 2011, representing substantially all of the outstanding senior subordinated notes plus accrued interest and related fees. We paid $22.3 million in fees in connection with obtaining the bridge loan facility and wrote off $9.5 million of deferred financing fees and bond discount as part of the 2003 term loan and senior subordinated notes repayments. Additionally, in connection with the recapitalization, we borrowed $1.7 billion of fixed rate notes and used the proceeds from the borrowings to repay in full the bridge term loan facility, capitalize certain new subsidiaries, pay $38.1 million of deferred financing fees, pay a special cash dividend on our outstanding common stock totaling $846.4 million and make a corresponding anti-dilution equivalent payment of $50.6 million on certain stock options. Total cash paid for common stock dividends and related anti-dilution payments totaled $897.0 million, of which $141.0 million was recorded as a reduction of additional paid-in capital and $756.0 million was recorded as an increase in retained deficit. In connection with the repayment of the bridge term loan facility, we wrote off $21.9 million of unamortized deferred financing fees. Additionally, we expensed $2.9 million of related general and administrative expenses, comprised of $1.6 million of legal, professional and other fees and expenses and $1.3 million of non-cash compensation expenses, of which $0.4 million related to the acceleration of vesting of certain stock options. Total recapitalization related expenses were $48.6 million (pre-tax).</w:t>
      </w:r>
    </w:p>
    <w:p>
      <w:pPr>
        <w:spacing w:after="0" w:line="377"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fiscal year includes 53 weeks, while the 2005, 2006, 2007 and 2008 fiscal years each include 52 weeks.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6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auto"/>
        </w:rPr>
        <w:t>Our fiscal year typically includes 52 weeks, comprised of three twelve week quarters and one sixteen week quarter. Every five or six years our fiscal year includes an extra (or 53</w:t>
      </w:r>
      <w:r>
        <w:rPr>
          <w:rFonts w:ascii="Times New Roman" w:cs="Times New Roman" w:eastAsia="Times New Roman" w:hAnsi="Times New Roman"/>
          <w:sz w:val="11"/>
          <w:szCs w:val="11"/>
          <w:i w:val="1"/>
          <w:iCs w:val="1"/>
          <w:color w:val="auto"/>
        </w:rPr>
        <w:t>rd</w:t>
      </w:r>
      <w:r>
        <w:rPr>
          <w:rFonts w:ascii="Times New Roman" w:cs="Times New Roman" w:eastAsia="Times New Roman" w:hAnsi="Times New Roman"/>
          <w:sz w:val="18"/>
          <w:szCs w:val="18"/>
          <w:i w:val="1"/>
          <w:iCs w:val="1"/>
          <w:color w:val="auto"/>
        </w:rPr>
        <w:t>) week in the fourth quarter. Fiscal 2009 consisted of 53 weeks, while fiscal 2007 and fiscal 2008 consisted of 52 weeks.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the number one pizza delivery company in the United States with an 18.4% share of the pizza delivery market based on reported consumer spending. We also have a leading international presence. We operate through a network of 466 Company-owned stores, all of which are in the United States, and 8,533 franchise stores located in all 50 states and in more than 60 international markets. In addition, we operate 16 regional dough manufacturing and supply chain centers in the contiguous United States as well as six dough manufacturing and supply chain centers outside the contiguous United States. In 2009, we converted one of our dough manufacturing and supply chain centers in the United States to a thin crust manufacturing center. This facility supplies the majority of thin crust product for our domestic stores.</w:t>
      </w:r>
    </w:p>
    <w:p>
      <w:pPr>
        <w:spacing w:after="0" w:line="13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financial results are driven largely by retail sales at our Company-owned and franchise stores. Changes in retail sales are driven by changes in same store sales and store counts. We monitor both of these metrics very closely, as they directly impact our revenues and profits, and strive to consistently increase both same store sales and our store counts. Retail sales drive Company-owned store revenues, royalty payments from franchisees and supply chain revenues. Retail sales are primarily impacted by the strength of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 the results of our marketing promotions, our ability to execute our store operating model, the overall global economic environment and other business strategies.</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devote significant attention to our brand-building efforts, which is evident in our system’s estimated $1.4 billion of domestic advertising spending over the past five years and our frequent designation as a MegaBrand by </w:t>
      </w:r>
      <w:r>
        <w:rPr>
          <w:rFonts w:ascii="Times New Roman" w:cs="Times New Roman" w:eastAsia="Times New Roman" w:hAnsi="Times New Roman"/>
          <w:sz w:val="18"/>
          <w:szCs w:val="18"/>
          <w:i w:val="1"/>
          <w:iCs w:val="1"/>
          <w:color w:val="auto"/>
        </w:rPr>
        <w:t>Advertising Age</w:t>
      </w:r>
      <w:r>
        <w:rPr>
          <w:rFonts w:ascii="Times New Roman" w:cs="Times New Roman" w:eastAsia="Times New Roman" w:hAnsi="Times New Roman"/>
          <w:sz w:val="18"/>
          <w:szCs w:val="18"/>
          <w:color w:val="auto"/>
        </w:rPr>
        <w:t>. We plan on continuing to build our brand and retail sales by satisfying customers worldwide with our pizza delivery offerings and by continuing to invest significant amounts in the advertising and marketing of the Domino’s Pizza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pay particular attention to the store economics, or the investment performance of a store to its owner, of both our Company-owned and franchise stores. We believe that our system’s favorable store economics benefit from the relatively small initial and ongoing investments required to own and operate a Domino’s Pizza store. We believe these favorable investment requirements, coupled with a strong brand message supported by significant advertising spending, as well as high-quality and focused menu offerings, drive strong store economics, which, in turn, drive demand for new stores.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Performance</w:t>
      </w:r>
    </w:p>
    <w:p>
      <w:pPr>
        <w:spacing w:after="0" w:line="17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6"/>
          <w:szCs w:val="16"/>
          <w:color w:val="auto"/>
        </w:rPr>
        <w:t>At the start of 2009, we faced a tough economic environment and challenges in our domestic business. We focused on several areas in 2009, including menu diversification and improving domestic store operations. During 2009, we continued to exit underperforming franchisees from the system which allowed us to strengthen our overall system of stores. We made targeted investments in new training and audit programs, which we believe have resulted in better store operations. We have also made significant changes to our marketing strategies in recent years, focusing on driving sustained traffic growth, including launching new product platforms. In 2008, we introduced our Domino’s Oven Baked Sandwiches, which not only drove traffic growth, but also expanded our lunch business. In 2009, we introduced Domino’s American Legends</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pizzas, Domino’s BreadBowl Pasta™ and Chocolate Lava Crunch Cakes, which further increased traffic and the impact of all of these strategies resulted in increased traffic in all four fiscal quarters in 2009. In addition, Domino’s Pizza was voted #1 in customer satisfaction in a 2009 survey of consumers of the U.S. largest limited service restaurants, according to the annual American Customer Satisfaction Index™ (ACSI). Further, in the fourth quarter of 2009, we launched our Inspired New Pizza, which resulted in significant improvements to our core pizza product. Since the launch of our Inspired New Pizza, we have received significant media attention and have experienced significant increases in traffic and sales in our stores. It is unknown if this trend will continue once we are past this initial trial period. However, we believe momentum is building as we enter fiscal 2010, our 50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year of operation. In addition to the aforementioned efforts, other initiatives such as increases in media spending and further investments in our technology platforms are important strategies that will contribute to the growth and success of our business in 2010 and beyond.</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In 2009, global retail sales, which are total retail sales at Company-owned and franchise stores worldwide, increased 2.2% as compared to 2008. Retail sales for franchise stores are reported to the Company by its franchisees and are not included in Company revenues. This increase in global retail sales was driven primarily by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 which positively impacted global retail sales by 2.5 percentage points in 2009. Additionally, global retail sales benefited from strong international same store sales growth, same store sales growth in our domestic franchise stores and growth in worldwide store counts. These increases were offset in part by the negative impact of foreign currency exchange rates on our international sales. In 2008, global retail sales increased</w:t>
      </w:r>
    </w:p>
    <w:p>
      <w:pPr>
        <w:ind w:right="260"/>
        <w:spacing w:after="0" w:line="323" w:lineRule="auto"/>
        <w:rPr>
          <w:sz w:val="20"/>
          <w:szCs w:val="20"/>
          <w:color w:val="auto"/>
        </w:rPr>
      </w:pPr>
      <w:r>
        <w:rPr>
          <w:rFonts w:ascii="Times New Roman" w:cs="Times New Roman" w:eastAsia="Times New Roman" w:hAnsi="Times New Roman"/>
          <w:sz w:val="16"/>
          <w:szCs w:val="16"/>
          <w:color w:val="auto"/>
        </w:rPr>
        <w:t>1.4% as compared to 2007. This increase in global retail sales was driven by strong international same store sales growth as well as growth in worldwide store counts, offset in part by a decrease in domestic same store sales and the negative impact of foreign currency exchange rates on our international sales.</w:t>
      </w:r>
    </w:p>
    <w:p>
      <w:pPr>
        <w:spacing w:after="0" w:line="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color w:val="auto"/>
        </w:rPr>
        <w:t>Revenues decreased $21.0 million or 1.5% in 2009 and decreased $37.8 million or 2.6% in 2008. The decrease in revenues in 2009 was largely due to lower Company-owned store revenues resulting primarily from the impact of the store divestitures in 2008, lower domestic supply chain revenues, due primarily to lower food prices, including cheese, and the negative impact of changes in foreign currency exchange rates on our international revenues. These decreases were offset, in part by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 which positively impacted revenues by approximately $34.4 million. The decline in 2008 was due primarily to lower Company-owned store and domestic franchise revenues, driven primarily by Company-owned store divestitures, lower same store sales and lower volumes in our domestic supply chain operations. Worldwide store counts have increased from 8,366 at the beginning of 2007 to 8,999 at the end of 2009. This growth in store counts can be attributed to the growing global acceptance of our brand and our pizza delivery concept as well as the economics inherent in our system which attracts new franchisees and encourages existing franchisees to grow their business. Domestic same store sales decreased 1.7% in 2007, decreased 4.9% in 2008 and increased 0.5% in 2009. International same store sales increased 6.7%, 6.2% and 4.3% during the same periods. The Company’s domestic same store sales results in 2007 and 2008 reflected the underperformance of our product and promotional offerings during those years, continued challenges in our domestic business and a weak consumer environment. Domestic same store sales in fiscal 2009 reflected the success of several initiatives, including the launch of two new product platforms: Domino’s BreadBowl Pasta™ and Domino’s American Legends</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pizzas, as well as the introduction of Domino’s Chocolate Lava Crunch Cakes and the introduction of our Inspired New Pizza during the fourth quarter of 2009. Internationally, same stores sales growth continues to result from the growing acceptance of delivered pizza around the globe and the successful execution of the concept.</w:t>
      </w:r>
    </w:p>
    <w:p>
      <w:pPr>
        <w:spacing w:after="0" w:line="33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Income from operations decreased 2.8% from $195.0 million in 2008 to $189.5 million in 2009 and increased 0.6% in 2008. Income from operations in 2009 was negatively impacted by approximately $4.9 million of expenses incurred in connection with the stock option exchange program as well as the incremental expense and acceleration of expense for the retirement provision added to existing stock option agreements. Furthermore, 2009 was negatively impacted by changes in foreign currency exchange rates affecting our international operations and higher variable bonuses related to the Company’s bonus program. These decreases in 2009 were offset in part by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 which benefited income from operations by approximately $6.7 million, by higher margins in our Company-owned stores and domestic supply chain business as well as domestic and international same store sales growth and store count growth in our international markets. The growth in income from operations in 2008 was primarily the result of the $14.2 million of gains on the sale of Company-owned stores and continued strong performance in our international business. Additionally, the comparison benefited from lower income from operations in 2007, when we incurred higher expenses associated with the Company’s recapitalization and a $5.0 million reserve recorded in 2007 related to certain legal matters in California. These increases in 2008 were offset in part by lower margins in our Company-owned store and domestic supply chain businesses, a decrease in domestic franchise same store sales and approximately $1.4 million of separation and other costs recorded related primarily to the Company’s reduction-in-force.</w:t>
      </w:r>
    </w:p>
    <w:p>
      <w:pPr>
        <w:spacing w:after="0" w:line="1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Net income increased 47.8% from $54.0 million in 2008 to $79.7 million in 2009 and increased 42.5% in 2008. The increase in net income in 2009 was due primarily to $56.3 million of pre-tax gains recorded on the extinguishment of debt combined with lower interest expense in 2009 as a result of lower debt levels. Additionally,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benefited net income in 2009 by approximately $2.9 million. These increases were partially offset by the aforementioned decrease in income from operations. The increase in net income in 2008 was primarily due to the comparison to lower net income amounts in 2007, when we incurred higher expenses associated with the Company’s recapitalization and the aforementioned increase in income from operations in 2008. These recapitalization expenses in 2007 included the write-off of deferred financing fees and bond discount related to the extinguishment of debt and a $13.3 million premium paid to repurchase and retire then-outstanding notes. These increases were offset in part by higher ongoing interest expense in 2008 associated with increased debt under our new capital structure and higher interest income earned in 2007 on funds received in connection with the Company’s recapitalization.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We are highly leveraged primarily as a result of our recapitalization in 2007. As of January 3, 2010, consolidated debt was $1.57 billion. Since 1998, a large portion of our cash flows provided from operations has been used to make principal and interest payments on our indebtedness as well as distributions to shareholders in the form of dividends and stock repurchases. Our securitized debt requires interest-only payments until April 2012. This interest-only period can be extended for two one-year periods if the Company meets certain requirements in April 2012 and April 2013. Based on fiscal 2009 financial results, the Company has exceeded the required threshold for extension. Management currently intends to take advantage of this interest-only period of payments for the full seven years to the extent such extension periods remain available to the Company. Overall, we believe that our ability to consistently produce significant free cash flows allows us the flexibility not only to service our significant debt but also to invest in our growing business as well as return cash to our shareholders.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on our consolidated financial statements, which have been prepared in accordance with accounting principles generally accepted in the United States of America.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revenue recognition, allowance for uncollectible receivables, long-lived and intangible assets, insurance and legal matters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Changes in our accounting policies and estimates could materially impact our results of operations and financial condition for any particular period. We believe that our most critical accounting policies and estimates are:</w:t>
      </w:r>
    </w:p>
    <w:p>
      <w:pPr>
        <w:spacing w:after="0" w:line="1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earn revenues through our network of domestic Company-owned and franchise stores, dough manufacturing and supply chain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operations. Retail sales from Company-owned stores and royalty revenues resulting from the retail sales from franchise stores are recognized as revenues when the items are delivered to or carried out by customers. Retail sales are generally reported and related royalties paid to the Company on a weekly basis based on a percentage of retail sales, as specified in the related standard franchise agreement (generally 5.5% of domestic franchise retail sales). In the event that retail sales are not reported timely by a franchisee, the Company will record royalty revenues in the period earned based on an estimate of the franchisee’s sales; however, these estimates are not significant and have historically been materially consistent with the actual amounts. Revenues from Company-owned stores and royalty revenues from franchise stores fluctuate from time-to-time as a result of store count changes. For example, if a Company-owned store that generated $500,000 in revenue in fiscal 2008 is sold to a franchisee in fiscal 2009, revenues from Company-owned stores would have declined by $500,000 in fiscal 2009, while franchise royalty revenues would have increased by only $27,500 in fiscal 2009, as we generally collect 5.5% of a domestic franchisee’s retail sales. Sales of food from our supply chain centers are recognized as revenues upon delivery of the food to franchisees, while sales of equipment and supplies are generally recognized as revenues upon shipment of the related products to franchisees.</w:t>
      </w:r>
    </w:p>
    <w:p>
      <w:pPr>
        <w:spacing w:after="0" w:line="1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uncollectible receivables. </w:t>
      </w:r>
      <w:r>
        <w:rPr>
          <w:rFonts w:ascii="Times New Roman" w:cs="Times New Roman" w:eastAsia="Times New Roman" w:hAnsi="Times New Roman"/>
          <w:sz w:val="18"/>
          <w:szCs w:val="18"/>
          <w:color w:val="auto"/>
        </w:rPr>
        <w:t>We closely monitor our accounts and notes receivable balances and provide allowances for uncollectible amounts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our reviews. These estimates are based on, among other factors, historical collection experience and a review of our receivables by aging category. Additionally, we may also provide allowances for uncollectible receivables based on specific customer collection issues that we have identified. While write-offs of bad debts have historically been within our expectations and the provisions established, management cannot guarantee that future write-offs will not exceed historical rates. Specifically, if the financial condition of our franchisees were to deteriorate resulting in an impairment of their ability to make payments, additional allowances may be required.</w:t>
      </w:r>
    </w:p>
    <w:p>
      <w:pPr>
        <w:spacing w:after="0" w:line="1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January 3, 2010, our total allowance for uncollectible accounts receivables was approximately $9.2 million, compared to $10.9 million as of December 28, 2008, representing approximately 10.8% and 13.6% of our consolidated gross accounts receivable in those years. A 10% change in our allowance for uncollectible accounts receivables at January 3, 2010 would result in a change in reserves of approximately $0.9 million and a change in income before provision for income taxes by the same amount. Currently, management does not believe that there is a reasonable likelihood that there will be a material change in the future estimates or assumptions that were used to calculate our allowance for uncollectible accounts receivables.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Long-lived and intangible assets. </w:t>
      </w:r>
      <w:r>
        <w:rPr>
          <w:rFonts w:ascii="Times New Roman" w:cs="Times New Roman" w:eastAsia="Times New Roman" w:hAnsi="Times New Roman"/>
          <w:sz w:val="16"/>
          <w:szCs w:val="16"/>
          <w:color w:val="auto"/>
        </w:rPr>
        <w:t>We record long-lived assets, including property, plant and equipment and capitalized software, at cost. For acquisitions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based on various analyses including the projection of undiscounted cash flows, whenever events or changes in circumstances indicate that the carrying amount of the assets may not be recoverable. For Company-owned stores, we perform related impairment tests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or the estimated fair value of the asset, an impairment loss is recognized and the asset is written down to its estimated fair value.</w:t>
      </w:r>
    </w:p>
    <w:p>
      <w:pPr>
        <w:spacing w:after="0" w:line="1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not made any significant changes in the methodology used to estimate the future market cash flows of Company-owned stores during the years presented. Same store sales fluctuations and the rates at which operating costs will fluctuate in the future are key factors in evaluating recoverability of the related assets. If our same store sales significantly decline or if operating costs increase and we are unable to recover these costs, the carrying value of our Company-owned stores, by market, may be unrecoverable and we may be required to recognize an impairment charge. At January 3, 2010, we determined that our long-lived assets were not impaired.</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significant portion of our goodwill relates to acquisitions of domestic franchise stores and is included in our domestic stores segment, specifically, the Company-owned stores reporting unit. We evaluate goodwill annually for impairment by comparing the fair value of the reporting unit, which is primarily determined using historical undiscounted cash flows multiplied by a market multiple, which is estimated based on the results of recent store sales transactions, to its carrying value. If the carrying value of the reporting unit exceeds the fair value, goodwill would be impaired. We have not made any significant changes in the methodology used to evaluate goodwill impairment during the years presented. At January 3, 2010, the fair value of our business operations with associated goodwill exceeded their recorded carrying value, including the related goodwill. If cash flows generated by our Company-owned stores were to decline significantly in the future or there were negative revisions to the market multiple assumption, we may be required to recognize a goodwill impairment charge. However, based on the latest impairment analysis, we do not believe it is reasonably likely that there could be changes in assumptions that would trigger impairment.</w:t>
      </w:r>
    </w:p>
    <w:p>
      <w:pPr>
        <w:spacing w:after="0" w:line="1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and legal matters. </w:t>
      </w:r>
      <w:r>
        <w:rPr>
          <w:rFonts w:ascii="Times New Roman" w:cs="Times New Roman" w:eastAsia="Times New Roman" w:hAnsi="Times New Roman"/>
          <w:sz w:val="18"/>
          <w:szCs w:val="18"/>
          <w:color w:val="auto"/>
        </w:rPr>
        <w:t>We are a party to lawsuits and legal proceedings arising in the ordinary course of business. Management closely monitors these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and estimates the probable costs for the resolution of such matters. These estimates are primarily determined by consulting with both internal and external parties handling the matters and are based upon an analysis of potential results, assuming a combination of litigation and settlement strategies. While historically our actual losses have been materially consistent with our reserves, legal judgments can be volatile and difficult to predict. Accordingly, if our estimates relating to legal matters proved inaccurate for any reason, we may be required to increase or decrease the related expense in future periods. We had accruals for legal matters of approximately $2.9 million at December 28, 2008 and approximately $4.5 million at January 3, 2010.</w:t>
      </w:r>
    </w:p>
    <w:p>
      <w:pPr>
        <w:spacing w:after="0" w:line="1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 liability under insurance policies requiring payment of a deductible for each occurrence up to between $500,000 and $3.0 million, depending on the policy year and line of coverage. The related insurance reserves are based on undiscounted independent actuarial estimates, which are based on historical information along with assumptions about future events. Specifically, various methods, including analyses of historical trends and actuarial valuation methods, are utilized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 Over the past several years, we have experienced improvements in frequency of claims; however increasing severity of claims and medical costs have partially offset these trends. Our methodology for determining our exposure has remained consistent throughout the years presented. Management believes that the various assumptions developed and actuarial methods used to determine our self insurance reserves are reasonable and provide meaningful data that management uses to make its best estimate of our exposure to these risks. While historically our actual losses have been materially consistent with our reserves, changes in assumptions for such factors as medical costs and legal actions, as well as changes in actual experience, could cause our estimates to change in the near term which could result in an increase or decrease in the related expense in future periods. A 10% change in our self insurance liability at January 3, 2010 would have affected our income before provision for income taxes by approximately $2.7 million for fiscal 2009. We had accruals for insurance matters of approximately $30.4 million at December 28, 2008 and $27.2 million at January 3, 2010.</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We recognize deferred tax assets and liabilities based on the differences between the financial statement carrying amounts and the tax basis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and liabilities and reserves for uncertain tax positions. We measure deferred tax assets and liabilities using current enacted tax rates that will apply in the years in which we expect the temporary differences to be recovered or paid. Judgment is required in determining the provision for income taxes and related reserves, deferred tax assets and liabilities. These include establishing a valuation allowance related to the ability to realize certain deferred tax assets, if necessary. As of January 3, 2010, we had no valuation allowances recorded for deferred tax assets. Our accounting for deferred tax assets represents our best estimate of future events. Our net deferred tax assets assume that we will generate sufficient taxable income in specific tax jurisdictions, based on our estimates and assumptions. Changes in our current estimates due to unanticipated events could have a material impact on our financial condition and results of operation.</w:t>
      </w:r>
    </w:p>
    <w:p>
      <w:pPr>
        <w:spacing w:after="0" w:line="11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amounts relating to taxes recorded on the balance sheet, including tax reserves, also consider the ultimate resolution of revenue agent reviews based on estimates and assumptions. We believe we have adequately accounted for our uncertain tax positions; however, tax audits, changes in tax laws and other unforeseen matters may result in us owing additional taxes. We adjust our reserves for uncertain tax positions when facts and circumstances change or due to the passage of time; for example the completion of a tax audit, or the expiration of a statute of limitations, or changes in penalty and interest reserves associated with uncertain tax positions. Management believes that our tax positions comply with applicable tax law and that we have adequately provided for these matters. However, to the extent the final tax outcome of these matters is different than our recorded amounts, we may be required to adjust our tax reserves resulting in additional income tax expense or benefit in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Same Store Sales Growth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2008</w:t>
            </w:r>
          </w:p>
        </w:tc>
        <w:tc>
          <w:tcPr>
            <w:tcW w:w="7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1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Domestic franchise stores</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stores</w:t>
            </w:r>
          </w:p>
        </w:tc>
        <w:tc>
          <w:tcPr>
            <w:tcW w:w="17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r>
      <w:tr>
        <w:trPr>
          <w:trHeight w:val="323"/>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International stores</w:t>
            </w:r>
          </w:p>
        </w:tc>
        <w:tc>
          <w:tcPr>
            <w:tcW w:w="1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4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Store Growth Activity</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1"/>
        </w:trPr>
        <w:tc>
          <w:tcPr>
            <w:tcW w:w="4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25"/>
        </w:trPr>
        <w:tc>
          <w:tcPr>
            <w:tcW w:w="4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20" w:type="dxa"/>
            <w:vAlign w:val="bottom"/>
          </w:tcPr>
          <w:p>
            <w:pPr>
              <w:jc w:val="center"/>
              <w:ind w:left="2"/>
              <w:spacing w:after="0" w:line="125" w:lineRule="exact"/>
              <w:rPr>
                <w:sz w:val="20"/>
                <w:szCs w:val="20"/>
                <w:color w:val="auto"/>
              </w:rPr>
            </w:pPr>
            <w:r>
              <w:rPr>
                <w:rFonts w:ascii="Times New Roman" w:cs="Times New Roman" w:eastAsia="Times New Roman" w:hAnsi="Times New Roman"/>
                <w:sz w:val="14"/>
                <w:szCs w:val="14"/>
                <w:b w:val="1"/>
                <w:bCs w:val="1"/>
                <w:color w:val="auto"/>
                <w:w w:val="97"/>
              </w:rPr>
              <w:t>Domestic</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2"/>
        </w:trPr>
        <w:tc>
          <w:tcPr>
            <w:tcW w:w="4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20" w:type="dxa"/>
            <w:vAlign w:val="bottom"/>
          </w:tcPr>
          <w:p>
            <w:pPr>
              <w:jc w:val="center"/>
              <w:ind w:left="2"/>
              <w:spacing w:after="0" w:line="152" w:lineRule="exact"/>
              <w:rPr>
                <w:sz w:val="20"/>
                <w:szCs w:val="20"/>
                <w:color w:val="auto"/>
              </w:rPr>
            </w:pPr>
            <w:r>
              <w:rPr>
                <w:rFonts w:ascii="Times New Roman" w:cs="Times New Roman" w:eastAsia="Times New Roman" w:hAnsi="Times New Roman"/>
                <w:sz w:val="14"/>
                <w:szCs w:val="14"/>
                <w:b w:val="1"/>
                <w:bCs w:val="1"/>
                <w:color w:val="auto"/>
                <w:w w:val="96"/>
              </w:rPr>
              <w:t>Company-owned</w:t>
            </w:r>
          </w:p>
        </w:tc>
        <w:tc>
          <w:tcPr>
            <w:tcW w:w="1040" w:type="dxa"/>
            <w:vAlign w:val="bottom"/>
          </w:tcPr>
          <w:p>
            <w:pPr>
              <w:jc w:val="right"/>
              <w:ind w:right="195"/>
              <w:spacing w:after="0" w:line="152"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1220" w:type="dxa"/>
            <w:vAlign w:val="bottom"/>
            <w:gridSpan w:val="2"/>
          </w:tcPr>
          <w:p>
            <w:pPr>
              <w:jc w:val="right"/>
              <w:ind w:right="392"/>
              <w:spacing w:after="0" w:line="152"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1040" w:type="dxa"/>
            <w:vAlign w:val="bottom"/>
          </w:tcPr>
          <w:p>
            <w:pPr>
              <w:jc w:val="right"/>
              <w:ind w:right="175"/>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International</w:t>
            </w:r>
          </w:p>
        </w:tc>
        <w:tc>
          <w:tcPr>
            <w:tcW w:w="720" w:type="dxa"/>
            <w:vAlign w:val="bottom"/>
          </w:tcPr>
          <w:p>
            <w:pPr>
              <w:spacing w:after="0"/>
              <w:rPr>
                <w:sz w:val="13"/>
                <w:szCs w:val="13"/>
                <w:color w:val="auto"/>
              </w:rPr>
            </w:pPr>
          </w:p>
        </w:tc>
      </w:tr>
      <w:tr>
        <w:trPr>
          <w:trHeight w:val="176"/>
        </w:trPr>
        <w:tc>
          <w:tcPr>
            <w:tcW w:w="40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10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220" w:type="dxa"/>
            <w:vAlign w:val="bottom"/>
            <w:tcBorders>
              <w:bottom w:val="single" w:sz="8" w:color="auto"/>
            </w:tcBorders>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7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count at December 31, 2006</w:t>
            </w:r>
          </w:p>
        </w:tc>
        <w:tc>
          <w:tcPr>
            <w:tcW w:w="33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571</w:t>
            </w:r>
          </w:p>
        </w:tc>
        <w:tc>
          <w:tcPr>
            <w:tcW w:w="10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4,572</w:t>
            </w:r>
          </w:p>
        </w:tc>
        <w:tc>
          <w:tcPr>
            <w:tcW w:w="122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5,143</w:t>
            </w:r>
          </w:p>
        </w:tc>
        <w:tc>
          <w:tcPr>
            <w:tcW w:w="10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3,223</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8,366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Openings</w:t>
            </w:r>
          </w:p>
        </w:tc>
        <w:tc>
          <w:tcPr>
            <w:tcW w:w="33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138</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289</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Closings</w:t>
            </w:r>
          </w:p>
        </w:tc>
        <w:tc>
          <w:tcPr>
            <w:tcW w:w="3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3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count at December 30, 2007</w:t>
            </w:r>
          </w:p>
        </w:tc>
        <w:tc>
          <w:tcPr>
            <w:tcW w:w="17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571</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4,584</w:t>
            </w:r>
          </w:p>
        </w:tc>
        <w:tc>
          <w:tcPr>
            <w:tcW w:w="1220" w:type="dxa"/>
            <w:vAlign w:val="bottom"/>
            <w:tcBorders>
              <w:top w:val="single" w:sz="8" w:color="auto"/>
            </w:tcBorders>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5,155</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3,469</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8,624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Openings</w:t>
            </w:r>
          </w:p>
        </w:tc>
        <w:tc>
          <w:tcPr>
            <w:tcW w:w="33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123</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314</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Closings</w:t>
            </w:r>
          </w:p>
        </w:tc>
        <w:tc>
          <w:tcPr>
            <w:tcW w:w="3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3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(82)</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count at December 28, 2008</w:t>
            </w:r>
          </w:p>
        </w:tc>
        <w:tc>
          <w:tcPr>
            <w:tcW w:w="17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489</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4,558</w:t>
            </w:r>
          </w:p>
        </w:tc>
        <w:tc>
          <w:tcPr>
            <w:tcW w:w="1220" w:type="dxa"/>
            <w:vAlign w:val="bottom"/>
            <w:tcBorders>
              <w:top w:val="single" w:sz="8" w:color="auto"/>
            </w:tcBorders>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5,047</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3,726</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8,773</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Openings</w:t>
            </w:r>
          </w:p>
        </w:tc>
        <w:tc>
          <w:tcPr>
            <w:tcW w:w="332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414</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Closings</w:t>
            </w:r>
          </w:p>
        </w:tc>
        <w:tc>
          <w:tcPr>
            <w:tcW w:w="33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(219)</w:t>
            </w: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3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count at January 3, 2010</w:t>
            </w:r>
          </w:p>
        </w:tc>
        <w:tc>
          <w:tcPr>
            <w:tcW w:w="1700" w:type="dxa"/>
            <w:vAlign w:val="bottom"/>
            <w:tcBorders>
              <w:top w:val="single" w:sz="8" w:color="CCEEFF"/>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466</w:t>
            </w:r>
          </w:p>
        </w:tc>
        <w:tc>
          <w:tcPr>
            <w:tcW w:w="10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4,461</w:t>
            </w:r>
          </w:p>
        </w:tc>
        <w:tc>
          <w:tcPr>
            <w:tcW w:w="1220" w:type="dxa"/>
            <w:vAlign w:val="bottom"/>
            <w:tcBorders>
              <w:top w:val="single" w:sz="8" w:color="auto"/>
              <w:bottom w:val="single" w:sz="8" w:color="auto"/>
            </w:tcBorders>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4,927</w:t>
            </w:r>
          </w:p>
        </w:tc>
        <w:tc>
          <w:tcPr>
            <w:tcW w:w="10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4,072</w:t>
            </w:r>
          </w:p>
        </w:tc>
        <w:tc>
          <w:tcPr>
            <w:tcW w:w="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8,999</w:t>
            </w:r>
          </w:p>
        </w:tc>
      </w:tr>
      <w:tr>
        <w:trPr>
          <w:trHeight w:val="356"/>
        </w:trPr>
        <w:tc>
          <w:tcPr>
            <w:tcW w:w="4080" w:type="dxa"/>
            <w:vAlign w:val="bottom"/>
          </w:tcPr>
          <w:p>
            <w:pPr>
              <w:spacing w:after="0"/>
              <w:rPr>
                <w:sz w:val="24"/>
                <w:szCs w:val="24"/>
                <w:color w:val="auto"/>
              </w:rPr>
            </w:pPr>
          </w:p>
        </w:tc>
        <w:tc>
          <w:tcPr>
            <w:tcW w:w="3320" w:type="dxa"/>
            <w:vAlign w:val="bottom"/>
            <w:gridSpan w:val="2"/>
          </w:tcPr>
          <w:p>
            <w:pPr>
              <w:jc w:val="right"/>
              <w:ind w:right="1522"/>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720" w:type="dxa"/>
            <w:vAlign w:val="bottom"/>
            <w:tcBorders>
              <w:top w:val="single" w:sz="8" w:color="auto"/>
              <w:bottom w:val="single" w:sz="8" w:color="auto"/>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394.6</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357.7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335.8</w:t>
            </w:r>
          </w:p>
        </w:tc>
        <w:tc>
          <w:tcPr>
            <w:tcW w:w="7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Domestic franchise</w:t>
            </w:r>
          </w:p>
        </w:tc>
        <w:tc>
          <w:tcPr>
            <w:tcW w:w="2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158.1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153.9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157.8</w:t>
            </w:r>
          </w:p>
        </w:tc>
        <w:tc>
          <w:tcPr>
            <w:tcW w:w="7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supply chain</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783.3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771.1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763.7</w:t>
            </w:r>
          </w:p>
        </w:tc>
        <w:tc>
          <w:tcPr>
            <w:tcW w:w="720" w:type="dxa"/>
            <w:vAlign w:val="bottom"/>
            <w:shd w:val="clear" w:color="auto" w:fill="CCEEFF"/>
          </w:tcPr>
          <w:p>
            <w:pPr>
              <w:spacing w:after="0"/>
              <w:rPr>
                <w:sz w:val="18"/>
                <w:szCs w:val="18"/>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126.9</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142.4</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146.8</w:t>
            </w:r>
          </w:p>
        </w:tc>
        <w:tc>
          <w:tcPr>
            <w:tcW w:w="720" w:type="dxa"/>
            <w:vAlign w:val="bottom"/>
            <w:tcBorders>
              <w:bottom w:val="single" w:sz="8" w:color="auto"/>
            </w:tcBorders>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2"/>
              </w:rPr>
              <w:t>1,462.9</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6"/>
              </w:rPr>
              <w:t>1,425.1</w:t>
            </w: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2"/>
              </w:rPr>
              <w:t>1,404.1</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r>
      <w:tr>
        <w:trPr>
          <w:trHeight w:val="32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280" w:type="dxa"/>
            <w:vAlign w:val="bottom"/>
          </w:tcPr>
          <w:p>
            <w:pPr>
              <w:spacing w:after="0"/>
              <w:rPr>
                <w:sz w:val="24"/>
                <w:szCs w:val="2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317.7</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298.9</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274.5</w:t>
            </w:r>
          </w:p>
        </w:tc>
        <w:tc>
          <w:tcPr>
            <w:tcW w:w="720" w:type="dxa"/>
            <w:vAlign w:val="bottom"/>
          </w:tcPr>
          <w:p>
            <w:pPr>
              <w:spacing w:after="0"/>
              <w:rPr>
                <w:sz w:val="24"/>
                <w:szCs w:val="24"/>
                <w:color w:val="auto"/>
              </w:rPr>
            </w:pPr>
          </w:p>
        </w:tc>
      </w:tr>
      <w:tr>
        <w:trPr>
          <w:trHeight w:val="21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supply chain</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710.9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699.7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680.4</w:t>
            </w:r>
          </w:p>
        </w:tc>
        <w:tc>
          <w:tcPr>
            <w:tcW w:w="720" w:type="dxa"/>
            <w:vAlign w:val="bottom"/>
            <w:shd w:val="clear" w:color="auto" w:fill="CCEEFF"/>
          </w:tcPr>
          <w:p>
            <w:pPr>
              <w:spacing w:after="0"/>
              <w:rPr>
                <w:sz w:val="18"/>
                <w:szCs w:val="18"/>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55.4</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63.3</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62.2</w:t>
            </w:r>
          </w:p>
        </w:tc>
        <w:tc>
          <w:tcPr>
            <w:tcW w:w="720" w:type="dxa"/>
            <w:vAlign w:val="bottom"/>
            <w:tcBorders>
              <w:bottom w:val="single" w:sz="8" w:color="auto"/>
            </w:tcBorders>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2"/>
              </w:rPr>
              <w:t>1,084.0</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6"/>
              </w:rPr>
              <w:t>1,061.9</w:t>
            </w: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2"/>
              </w:rPr>
              <w:t>1,017.1</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r>
      <w:tr>
        <w:trPr>
          <w:trHeight w:val="32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tcPr>
          <w:p>
            <w:pPr>
              <w:spacing w:after="0"/>
              <w:rPr>
                <w:sz w:val="24"/>
                <w:szCs w:val="2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378.9</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363.3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4"/>
                <w:szCs w:val="2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387.0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r>
      <w:tr>
        <w:trPr>
          <w:trHeight w:val="21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184.9</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168.2</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197.5</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193.9</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195.0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189.5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(125.1)</w:t>
            </w: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(112.2)</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(13.3)</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56.3</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55.6</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82.9</w:t>
            </w: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135.5</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17.7</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28.9</w:t>
            </w: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55.8</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37.9</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54.0</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79.7</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2009 compared to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68"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primarily consist of retail sales from our Company-owned stores, royalties from our domestic and international franchise stores and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food, equipment and supplies from our supply chain centers to the majority of our domestic franchise stores and certain international franchise stores. Company-owned store and franchise store revenues may vary significantly from period to period due to changes in store count mix while supply chain revenues may vary significantly as a result of fluctuations in commodity prices, primarily cheese and meats.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Consolidated revenues decreased $21.0 million or 1.5% in 2009. This decrease in revenues was due primarily to lower Company-owned store revenues resulting from the impact of the 82 Company-owned store divestitures in 2008, lower domestic supply chain revenues, driven primarily by lower cheese prices, and the negative impact of changes in foreign currency exchange rates on our international revenues. These decreases were offset in part by an estimated $34.4 million positive impact related to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 Further, revenues in 2009 benefited from higher domestic and international same store sales and store count growth in our international markets. These changes in revenues are more fully described below.</w:t>
      </w:r>
    </w:p>
    <w:p>
      <w:pPr>
        <w:spacing w:after="0" w:line="137"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Domestic stores. </w:t>
      </w:r>
      <w:r>
        <w:rPr>
          <w:rFonts w:ascii="Times New Roman" w:cs="Times New Roman" w:eastAsia="Times New Roman" w:hAnsi="Times New Roman"/>
          <w:sz w:val="18"/>
          <w:szCs w:val="18"/>
          <w:color w:val="auto"/>
        </w:rPr>
        <w:t>Domestic stores revenues are comprised of retail sales from domestic Company-owned store operations and royalties from retail sales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franchise stores, as summarized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$357.7</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69.9%</w:t>
            </w:r>
          </w:p>
        </w:tc>
        <w:tc>
          <w:tcPr>
            <w:tcW w:w="8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$335.8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Domestic franchise</w:t>
            </w: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153.9</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30.1%</w:t>
            </w: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157.8</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domestic stores revenues</w:t>
            </w: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$ 511.6</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8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$493.6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bl>
    <w:p>
      <w:pPr>
        <w:spacing w:after="0" w:line="148"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Domestic stores revenues decreased $18.0 million or 3.5% in 2009. This decrease was due primarily to the reduction of Company-owned store revenues resulting from the 2008 store divestitures and lower domestic Company-owned same store sales. The decrease was offset in part by an estimated $11.8 million positive impact related to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 and higher domestic franchise same store sales. These results are more fully described below.</w:t>
      </w:r>
    </w:p>
    <w:p>
      <w:pPr>
        <w:spacing w:after="0" w:line="9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Domestic Company-owned stores. </w:t>
      </w:r>
      <w:r>
        <w:rPr>
          <w:rFonts w:ascii="Times New Roman" w:cs="Times New Roman" w:eastAsia="Times New Roman" w:hAnsi="Times New Roman"/>
          <w:sz w:val="18"/>
          <w:szCs w:val="18"/>
          <w:color w:val="auto"/>
        </w:rPr>
        <w:t>Revenues from domestic Company-owned store operations decreased $21.9 million or 6.1% in 2009. This decrease was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the store divestitures in 2008 and lower same store sales offset in part by an estimated $8.2 million positive impact related to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 Domestic Company-owned same store sales decreased 0.9% in 2009 compared to 2008. There were 489 domestic Company-owned stores in operation as of December 28, 2008 and 466 domestic Company-owned stores in operation as of January 3, 2010.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Domestic franchise. </w:t>
      </w:r>
      <w:r>
        <w:rPr>
          <w:rFonts w:ascii="Times New Roman" w:cs="Times New Roman" w:eastAsia="Times New Roman" w:hAnsi="Times New Roman"/>
          <w:sz w:val="18"/>
          <w:szCs w:val="18"/>
          <w:color w:val="auto"/>
        </w:rPr>
        <w:t>Revenues from domestic franchise operations increased $3.9 million or 2.5% in 2009. This increase was due primarily to an estimated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positive impact related to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 and higher same store sales, offset in part by a decrease in the average number of domestic franchise stores open during 2009. Domestic franchise same store sales increased 0.6% in 2009 compared to 2008. There were 4,558 domestic franchise stores in operation as of December 28, 2008 and 4,461 domestic franchise stores in operation as of January 3, 2010.</w:t>
      </w:r>
    </w:p>
    <w:p>
      <w:pPr>
        <w:spacing w:after="0" w:line="133"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Revenues from domestic supply chain operations decreased $7.4 million or 1.0% in 2009. This decrease was due primarily to lower food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primarily cheese, partially offset by increases resulting from higher volumes and product mix as well as an estimated $19.2 million positive impact related to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 Cheese prices negatively impacted revenues by approximately $40.9 million in 2009.</w:t>
      </w:r>
    </w:p>
    <w:p>
      <w:pPr>
        <w:spacing w:after="0" w:line="127"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International revenues are primarily comprised of royalties from our international franchise stores and sales of food and supplies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supply chain centers to certain franchise stores, as summarized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royalty and other</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73.1</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77.4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 supply chain</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69.3</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69.4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142.4</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146.8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bl>
    <w:p>
      <w:pPr>
        <w:spacing w:after="0" w:line="14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Revenues from international operations increased $4.4 million or 3.0% in 2009, comprised of a $4.3 million increase in royalty and other revenues and a $0.1 million increase in supply chain revenues. These increases were due primarily to an estimated $3.5 million positive impact on total international revenues related to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 Additionally, international revenues were positively impacted by higher same store sales and an increase in the average number of international stores open during 2009. The increase in international royalty and other revenues were offset in part by an $8.3 million negative impact of changes in foreign currency exchange rates as a result of the strengthening of the U.S. dollar compared to the currencies in the international markets in which we compete. On a constant dollar basis, same store sales increased 4.3% in 2009 compared to 2008. On a historical dollar basis, same store sales decreased 5.6% in 2009 compared to 2008. The international supply chain revenues in 2009 were negatively impacted by $4.1 million related to changes in foreign currency. There were 3,726 international stores in operation as of December 28, 2008 and 4,072 international stores in operation as of January 3, 2010.</w:t>
      </w:r>
    </w:p>
    <w:p>
      <w:pPr>
        <w:spacing w:after="0" w:line="11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Cost of sales / Operating margin. </w:t>
      </w:r>
      <w:r>
        <w:rPr>
          <w:rFonts w:ascii="Times New Roman" w:cs="Times New Roman" w:eastAsia="Times New Roman" w:hAnsi="Times New Roman"/>
          <w:sz w:val="18"/>
          <w:szCs w:val="18"/>
          <w:color w:val="auto"/>
        </w:rPr>
        <w:t>Consolidated cost of sales consists primarily of Company-owned store and domestic supply chain costs incurred to generate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revenues. Components of consolidated cost of sales primarily include food, labor and occupancy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consolidated operating margin, which we define as revenues less cost of sales, increased $23.7 million or 6.5% in 2009, as summarized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96"/>
              </w:rPr>
              <w:t>1,425.1</w:t>
            </w:r>
          </w:p>
        </w:tc>
        <w:tc>
          <w:tcPr>
            <w:tcW w:w="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96"/>
              </w:rPr>
              <w:t>1,404.1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96"/>
              </w:rPr>
              <w:t>1,061.9</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96"/>
              </w:rPr>
              <w:t>1,017.1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operating margin</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363.3</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387.0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1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$23.7 million increase in consolidated operating margin was due primarily to higher margins in our domestic supply chain, domestic Company-owned store and international businesses, combined with higher domestic franchise royalty revenues. Additionally, the consolidated operating margin was positively impacted by an estimated $10.4 million related to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percentage of total revenues, our consolidated operating margin increased 2.1 percentage points in 2009, primarily as a result of a market decrease in overall food prices, including cheese, which benefited our domestic Company-owned store and domestic and international supply chain operating margins as a percentage of revenues. Changes in the operating margin at our domestic Company-owned store operations and our domestic supply chain operations are more fully described below.</w:t>
      </w:r>
    </w:p>
    <w:p>
      <w:pPr>
        <w:spacing w:after="0" w:line="13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Domestic Company-owned stores. </w:t>
      </w:r>
      <w:r>
        <w:rPr>
          <w:rFonts w:ascii="Times New Roman" w:cs="Times New Roman" w:eastAsia="Times New Roman" w:hAnsi="Times New Roman"/>
          <w:sz w:val="18"/>
          <w:szCs w:val="18"/>
          <w:color w:val="auto"/>
        </w:rPr>
        <w:t>The domestic Company-owned store operating margin increased $2.5 million or 4.2% in 2009, as summarized in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Borders>
              <w:top w:val="single" w:sz="8" w:color="auto"/>
              <w:bottom w:val="single" w:sz="8" w:color="auto"/>
            </w:tcBorders>
          </w:tcPr>
          <w:p>
            <w:pPr>
              <w:spacing w:after="0"/>
              <w:rPr>
                <w:sz w:val="14"/>
                <w:szCs w:val="14"/>
                <w:color w:val="auto"/>
              </w:rPr>
            </w:pPr>
          </w:p>
        </w:tc>
        <w:tc>
          <w:tcPr>
            <w:tcW w:w="46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357.7</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335.8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1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298.9</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274.5</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10"/>
        </w:trPr>
        <w:tc>
          <w:tcPr>
            <w:tcW w:w="3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Store operating margin</w:t>
            </w:r>
          </w:p>
        </w:tc>
        <w:tc>
          <w:tcPr>
            <w:tcW w:w="46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58.8</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61.3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56"/>
        </w:trPr>
        <w:tc>
          <w:tcPr>
            <w:tcW w:w="3740" w:type="dxa"/>
            <w:vAlign w:val="bottom"/>
          </w:tcPr>
          <w:p>
            <w:pPr>
              <w:spacing w:after="0"/>
              <w:rPr>
                <w:sz w:val="24"/>
                <w:szCs w:val="24"/>
                <w:color w:val="auto"/>
              </w:rPr>
            </w:pPr>
          </w:p>
        </w:tc>
        <w:tc>
          <w:tcPr>
            <w:tcW w:w="4600" w:type="dxa"/>
            <w:vAlign w:val="bottom"/>
          </w:tcPr>
          <w:p>
            <w:pPr>
              <w:jc w:val="right"/>
              <w:ind w:right="2452"/>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$2.5 million increase in the domestic Company-owned store operating margin was due primarily to the estimated $2.4 million positive effect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 as well as lower overall food costs, primarily cheese. This increase in Company-owned store operating margin was offset in part by the impact of the 2008 store divestitures and, to a lesser extent, lower same store sales.</w:t>
      </w:r>
    </w:p>
    <w:p>
      <w:pPr>
        <w:spacing w:after="0" w:line="13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As a percentage of Company-owned store revenues, the Company-owned store operating margin increased 1.8 percentage points in 2009 due primarily to lower food and delivery costs, offset in part by higher labor and related costs.</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As a percentage of store revenues, food costs decreased 1.8 percentage points to 25.8% in 2009, due primarily to lower overall food prices, primarily cheese. The cheese block price per pound averaged $1.29 in 2009 compared to $1.89 in 2008.</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As a percentage of store revenues, labor and related costs increased 0.3 percentage points to 32.3% in 2009, due primarily to higher average wage rates resulting from increases in minimum wage rates.</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As a percentage of store revenues, occupancy costs, which include rent, telephone, utilities and depreciation, increased 0.1 percentage points to 12.2% in 2009 primarily resulting from higher rent costs incurred in connection with the Company’s store closures in fiscal 2009.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The domestic supply chain operating margin increased $11.9 million or 16.6% in 2009, as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771.1</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763.7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16"/>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699.7</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680.4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supply chain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71.4</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83.3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48"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The $11.9 million increase in the domestic supply chain operating margin was due to lower fuel costs, operating efficiencies and food cost savings. Additionally, the domestic supply chain operating margin was positively impacted by approximately $2.3 million due to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a percentage of domestic supply chain revenues, the domestic supply chain operating margin increased 1.6 percentage points in 2009 due primarily to lower food prices, primarily cheese and meats, and efficiencies gained at the supply chain centers through reduced delivery frequency and cost reductions. Decreases in certain food prices, including cheese, have a positive effect on the domestic supply chain operating margin due to the fixed dollar margin earned by domestic supply chain on certain food items, including cheese. Had the 2009 cheese prices been in effect during 2008, the domestic supply chain operating margin as a percentage of domestic supply chain revenues would have been approximately 9.8% for 2008, resulting in a domestic supply chain operating margin increase of 1.1 percentage points in 2009.</w:t>
      </w:r>
    </w:p>
    <w:p>
      <w:pPr>
        <w:spacing w:after="0" w:line="1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$29.3 million or 17.4% in 2009. As a percentage of total revenues,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administrative expenses increased 2.3 percentage points to 14.1% in 2009. These increases were due primarily to the impact of $14.2 million of gains recorded in 2008 related to the sale of certain Company-owned stores. Additionally, general and administrative expenses in 2009 were negatively impacted by higher administrative labor primarily resulting from variable bonuses and investments in franchise audit and training initiatives and approximately $3.7 million of additional expenses, primarily labor and advertising, related to the inclusion of the 53</w:t>
      </w:r>
      <w:r>
        <w:rPr>
          <w:rFonts w:ascii="Times New Roman" w:cs="Times New Roman" w:eastAsia="Times New Roman" w:hAnsi="Times New Roman"/>
          <w:sz w:val="11"/>
          <w:szCs w:val="11"/>
          <w:color w:val="auto"/>
        </w:rPr>
        <w:t>rd</w:t>
      </w:r>
      <w:r>
        <w:rPr>
          <w:rFonts w:ascii="Times New Roman" w:cs="Times New Roman" w:eastAsia="Times New Roman" w:hAnsi="Times New Roman"/>
          <w:sz w:val="18"/>
          <w:szCs w:val="18"/>
          <w:color w:val="auto"/>
        </w:rPr>
        <w:t xml:space="preserve"> week in 2009. Further, general and administrative expenses were negatively impacted by approximately $4.9 million of expenses incurred in connection with the stock option exchange program and the incremental expense and acceleration of expense for the retirement provision added to existing stock option agreements in 2009. These increases in general and administrative expenses were offset in part by approximately $1.4 million of separation and other costs recorded in 2008 related primarily to the Company’s reduction-in-force, a $6.2 million decrease in bad debt expense resulting from improved payments from our franchisees, $2.0 million of net proceeds received in the second quarter of 2009 for an insurance settlement and lower depreciation and amortization expense.</w:t>
      </w:r>
    </w:p>
    <w:p>
      <w:pPr>
        <w:spacing w:after="0" w:line="141"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$2.0 million to $0.7 million in 2009. This decrease was primarily due to lower interest rates earned in 2009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restricted and unrestricted cash and cash equivalents.</w:t>
      </w:r>
    </w:p>
    <w:p>
      <w:pPr>
        <w:spacing w:after="0" w:line="11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decreased $4.0 million to $110.9 million in 2009. This decrease in interest expense was due primarily to lower debt balances,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resulted from the Company’s debt repurchases in 2009. These decreases were offset in part by a $2.3 million write-off of deferred financing fees in connection with the extinguishment of debt in 2009 and approximately $1.9 million of higher interest expense related to the inclusion of the 53</w:t>
      </w:r>
      <w:r>
        <w:rPr>
          <w:rFonts w:ascii="Times New Roman" w:cs="Times New Roman" w:eastAsia="Times New Roman" w:hAnsi="Times New Roman"/>
          <w:sz w:val="10"/>
          <w:szCs w:val="10"/>
          <w:color w:val="auto"/>
        </w:rPr>
        <w:t>rd</w:t>
      </w:r>
      <w:r>
        <w:rPr>
          <w:rFonts w:ascii="Times New Roman" w:cs="Times New Roman" w:eastAsia="Times New Roman" w:hAnsi="Times New Roman"/>
          <w:sz w:val="16"/>
          <w:szCs w:val="16"/>
          <w:color w:val="auto"/>
        </w:rPr>
        <w:t xml:space="preserve"> week in 2009.</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Our cash borrowing rate was 6.0% in 2009 and was 6.1% in 2008. Our average outstanding debt balance, excluding capital lease obligations, decreased approximately $0.1 billion to approximately $1.6 billion in 2009.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The other amount of $56.3 million in 2009 represents the gains recognized on the repurchase and retirement of principal on the senior fixed rate notes.</w:t>
      </w:r>
    </w:p>
    <w:p>
      <w:pPr>
        <w:spacing w:after="0" w:line="17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increased $26.9 million to $55.8 million in 2009, due primarily to an increase in pre-tax income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effective tax rate. The Company’s effective income tax rate increased 6.3 percentage points to 41.2% of pre-tax income in 2009. This effective rate increase was due primarily to the positive impact in 2008 of reserve adjustments related to other state income tax matters combined with the negative impact in 2009 of reserve adjustments related to certain state income tax matters. The Company anticipates that the effective tax rate will be lower than the fiscal 2009 effective tax rate for the foreseeable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2008 compared to 2007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49"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Consolidated revenues decreased $37.8 million or 2.6% in 2008. This decrease in revenues was due primarily to lower Company-owned store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franchise revenues, driven primarily by Company-owned store divestitures, lower same store sales and lower volumes in our domestic supply chain operations offset in part by higher international revenues. These decreases in revenues are more fully described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Domestic stores. </w:t>
      </w:r>
      <w:r>
        <w:rPr>
          <w:rFonts w:ascii="Times New Roman" w:cs="Times New Roman" w:eastAsia="Times New Roman" w:hAnsi="Times New Roman"/>
          <w:sz w:val="18"/>
          <w:szCs w:val="18"/>
          <w:color w:val="auto"/>
        </w:rPr>
        <w:t>Domestic stores revenues are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$394.6</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71.4%</w:t>
            </w:r>
          </w:p>
        </w:tc>
        <w:tc>
          <w:tcPr>
            <w:tcW w:w="8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$357.7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Domestic franchise</w:t>
            </w: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158.1</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28.6%</w:t>
            </w: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153.9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domestic stores revenues</w:t>
            </w: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$552.6</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8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$ 511.6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bl>
    <w:p>
      <w:pPr>
        <w:spacing w:after="0" w:line="14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Domestic stores revenues decreased $41.0 million or 7.4% in 2008. This decrease was due primarily to lower domestic franchise and Company-owned same store sales and a decrease in the average number of domestic stores open during 2008. These results are more fully described below.</w:t>
      </w:r>
    </w:p>
    <w:p>
      <w:pPr>
        <w:spacing w:after="0" w:line="11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Domestic Company-owned stores. </w:t>
      </w:r>
      <w:r>
        <w:rPr>
          <w:rFonts w:ascii="Times New Roman" w:cs="Times New Roman" w:eastAsia="Times New Roman" w:hAnsi="Times New Roman"/>
          <w:sz w:val="18"/>
          <w:szCs w:val="18"/>
          <w:color w:val="auto"/>
        </w:rPr>
        <w:t>Revenues from domestic Company-owned store operations decreased $36.9 million or 9.3% in 2008. This decrease was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store divestitures, primarily to existing franchisees, during 2008 and lower same store sales. Domestic Company-owned same store sales decreased 2.2% in 2008 compared to 2007. There were 571 domestic Company-owned stores in operation as of December 30, 2007 and 489 domestic Company-owned stores in operation as of December 28, 2008.</w:t>
      </w:r>
    </w:p>
    <w:p>
      <w:pPr>
        <w:spacing w:after="0" w:line="13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Domestic franchise. </w:t>
      </w:r>
      <w:r>
        <w:rPr>
          <w:rFonts w:ascii="Times New Roman" w:cs="Times New Roman" w:eastAsia="Times New Roman" w:hAnsi="Times New Roman"/>
          <w:sz w:val="18"/>
          <w:szCs w:val="18"/>
          <w:color w:val="auto"/>
        </w:rPr>
        <w:t>Revenues from domestic franchise operations decreased $4.2 million or 2.7% in 2008. This decrease was due primarily to lower same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a decrease in the average number of domestic franchise stores open during 2008. There were 4,584 domestic franchise stores in operation as of December 30, 2007 and 4,558 domestic franchise stores in operation as of December 28, 2008. Domestic franchise same store sales decreased 5.2% in 2008 compared to 2007.</w:t>
      </w:r>
    </w:p>
    <w:p>
      <w:pPr>
        <w:spacing w:after="0" w:line="133" w:lineRule="exact"/>
        <w:rPr>
          <w:sz w:val="20"/>
          <w:szCs w:val="20"/>
          <w:color w:val="auto"/>
        </w:rPr>
      </w:pPr>
    </w:p>
    <w:p>
      <w:pPr>
        <w:jc w:val="both"/>
        <w:ind w:right="3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Revenues from domestic supply chain operations decreased $12.2 million or 1.6% in 2008. This decrease was due primarily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related to decreases in domestic same store sales and were offset in part by an increase in overall food prices, including cheese prices. Cheese prices positively impacted revenues by approximately $11.1 million in 2008.</w:t>
      </w:r>
    </w:p>
    <w:p>
      <w:pPr>
        <w:spacing w:after="0" w:line="127"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International revenues are primarily comprised of royalties from our international franchise stores and sales of food and supplies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supply chain centers to certain franchise stores, as summarized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Borders>
              <w:top w:val="single" w:sz="8" w:color="auto"/>
              <w:bottom w:val="single" w:sz="8" w:color="auto"/>
            </w:tcBorders>
          </w:tcPr>
          <w:p>
            <w:pPr>
              <w:spacing w:after="0"/>
              <w:rPr>
                <w:sz w:val="14"/>
                <w:szCs w:val="14"/>
                <w:color w:val="auto"/>
              </w:rPr>
            </w:pPr>
          </w:p>
        </w:tc>
        <w:tc>
          <w:tcPr>
            <w:tcW w:w="4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royalty and other</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66.3</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73.1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 supply chain</w:t>
            </w:r>
          </w:p>
        </w:tc>
        <w:tc>
          <w:tcPr>
            <w:tcW w:w="4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60.6</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69.3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0"/>
        </w:trPr>
        <w:tc>
          <w:tcPr>
            <w:tcW w:w="3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44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126.9</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142.4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r>
        <w:trPr>
          <w:trHeight w:val="356"/>
        </w:trPr>
        <w:tc>
          <w:tcPr>
            <w:tcW w:w="3900" w:type="dxa"/>
            <w:vAlign w:val="bottom"/>
          </w:tcPr>
          <w:p>
            <w:pPr>
              <w:spacing w:after="0"/>
              <w:rPr>
                <w:sz w:val="24"/>
                <w:szCs w:val="24"/>
                <w:color w:val="auto"/>
              </w:rPr>
            </w:pPr>
          </w:p>
        </w:tc>
        <w:tc>
          <w:tcPr>
            <w:tcW w:w="4440" w:type="dxa"/>
            <w:vAlign w:val="bottom"/>
          </w:tcPr>
          <w:p>
            <w:pPr>
              <w:jc w:val="right"/>
              <w:ind w:right="2452"/>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Revenues from international operations increased $15.5 million or 12.2% in 2008, comprised of a $6.8 million increase in royalty and other revenues and an $8.7 million increase in supply chain revenues. These increases were due primarily to higher same store sales and an increase in the average number of international stores open during 2008, offset in part by a $1.9 million negative impact of foreign currency translation losses as a result of the strengthening of the U.S. dollar compared to the currencies in the markets in which we compete. On a constant dollar basis, same store sales increased 6.2% in 2008 compared to 2007. On a historical dollar basis, same store sales increased 4.2% in 2008 compared to 2007, reflecting a generally stronger U.S. dollar in those markets in which we compete. There were 3,469 international stores in operation as of December 30, 2007 and 3,726 international stores in operation as of December 28, 2008.</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Cost of sales / Operating margin. </w:t>
      </w:r>
      <w:r>
        <w:rPr>
          <w:rFonts w:ascii="Times New Roman" w:cs="Times New Roman" w:eastAsia="Times New Roman" w:hAnsi="Times New Roman"/>
          <w:sz w:val="18"/>
          <w:szCs w:val="18"/>
          <w:color w:val="auto"/>
        </w:rPr>
        <w:t>The consolidated operating margin decreased $15.6 million or 4.1% in 2008, as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640" w:type="dxa"/>
            <w:vAlign w:val="bottom"/>
            <w:tcBorders>
              <w:top w:val="single" w:sz="8" w:color="auto"/>
              <w:bottom w:val="single" w:sz="8" w:color="auto"/>
            </w:tcBorders>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96"/>
              </w:rPr>
              <w:t>1,462.9</w:t>
            </w:r>
          </w:p>
        </w:tc>
        <w:tc>
          <w:tcPr>
            <w:tcW w:w="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96"/>
              </w:rPr>
              <w:t>1,425.1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96"/>
              </w:rPr>
              <w:t>1,084.0</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96"/>
              </w:rPr>
              <w:t>1,061.9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1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operating margin</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378.9</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363.3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bl>
    <w:p>
      <w:pPr>
        <w:spacing w:after="0" w:line="14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$15.6 million decrease in consolidated operating margin was due primarily to lower margins at our Company-owned stores and lower domestic franchise royalty revenues, offset in part by higher margins in our international business.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percentage of total revenues, our consolidated operating margin decreased primarily as a result of a market increase in overall food prices, including cheese, which negatively impacted our domestic Company-owned store and domestic supply chain operating margins as a percentage of revenues. Additionally, the Company-owned store operating margin was impacted by higher labor costs, while lower domestic franchise same store sales generated lower domestic supply chain volumes. Changes in the operating margin at our domestic Company-owned store operations and our domestic supply chain operations are more fully described below.</w:t>
      </w:r>
    </w:p>
    <w:p>
      <w:pPr>
        <w:spacing w:after="0" w:line="137"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Domestic Company-owned stores. </w:t>
      </w:r>
      <w:r>
        <w:rPr>
          <w:rFonts w:ascii="Times New Roman" w:cs="Times New Roman" w:eastAsia="Times New Roman" w:hAnsi="Times New Roman"/>
          <w:sz w:val="18"/>
          <w:szCs w:val="18"/>
          <w:color w:val="auto"/>
        </w:rPr>
        <w:t>The domestic Company-owned store operating margin decreased $18.1 million or 23.4% in 2008, as summarized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394.6</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357.7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16"/>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317.7</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298.9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1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Store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76.9</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58.8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14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$18.1 million decrease in the domestic Company-owned store operating margin was due primarily to higher overall food costs, lower same store sales, higher labor and related costs and the impact of store divestitures.</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As a percentage of store revenues, food costs increased 1.5 percentage points to 27.6% in 2008, due primarily to higher overall food prices, including cheese. The cheese block price per pound averaged $1.89 in 2008 compared to $1.72 in 2007.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store revenues, labor and related costs increased 0.5 percentage points to 32.0% in 2008, due primarily to higher average wage rates.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store revenues, occupancy costs increased 0.2 percentage points to 12.1% in 2008 resulting from higher average rent and utility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store revenues, insurance costs increased 0.2 percentage points to 3.3% in 2008.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The domestic supply chain operating margin decreased $1.0 million or 1.4% in 2008, as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top w:val="single" w:sz="8" w:color="auto"/>
              <w:bottom w:val="single" w:sz="8" w:color="auto"/>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783.3</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7"/>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3"/>
              </w:rPr>
              <w:t>771.1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16"/>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710.9</w:t>
            </w: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93"/>
              </w:rPr>
              <w:t>699.7</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supply chain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72.4</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71.4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48"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$1.0 million decrease in the domestic supply chain operating margin was due primarily to lower volumes and higher food and fuel costs, offset in part by lower variable labor costs.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As a percentage of domestic supply chain revenues, the domestic supply chain operating margin increased primarily as a result of efficiencies gained at the supply chain centers through reduced delivery frequency and cost reductions. These increases were offset by higher food prices, primarily cheese and to a lesser extent meats and boxes, and lower volumes as a result of lower domestic same store sales. Increases in certain food prices, including cheese, have a negative effect on the domestic supply chain operating margin due to the fixed dollar margin earned by domestic supply chain on certain food items, including cheese. Had the 2008 cheese prices been in effect during 2007, the domestic supply chain operating margin as a percentage of domestic supply chain revenues would have been approximately 9.1% for 2007, resulting in a domestic supply chain operating margin increase of 0.2 percentage points in 2008.</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$16.7 million or 9.0% in 2008. As a percentage of total revenues,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administrative expenses decreased 0.8 percentage points to 11.8% in 2008. These decreases were due primarily to $14.2 million of gains recorded in 2008 related to the sale of certain Company-owned stores. Additionally, general and administrative expenses in 2008 were positively impacted by lower advertising and labor expenses both directly related to the sale of Company-owned stores in 2008, the impact of a $5.0 million reserve recorded in 2007 related to certain legal matters in California as well as general and administrative expenses recorded in connection with the Company’s recapitalization in 2007. These decreases were offset in part by approximately $1.4 million of separation and other costs recorded related primarily to the Company’s previously announced and executed reduction-in-force, a $5.3 million increase in bad debt expense due primarily to delinquent payments from our franchisees and a $1.8 million gain recorded in 2007 on the sale of a corporate aircraft.</w:t>
      </w:r>
    </w:p>
    <w:p>
      <w:pPr>
        <w:spacing w:after="0" w:line="13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$2.6 million to $2.7 million in 2008. This decrease was primarily due to $1.5 million of tax-exempt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was earned in 2007 on funds received in connection with the Company’s 2007 recapitalization.</w:t>
      </w:r>
    </w:p>
    <w:p>
      <w:pPr>
        <w:spacing w:after="0" w:line="11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decreased $15.5 million to $114.9 million in 2008. This decrease in interest expense was due primarily to expenses incurred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 Company’s 2007 recapitalization, including a $21.9 million write-off of deferred financing fees related to the Company’s recapitalization, a $9.5 million write-off of deferred financing fees and bond discount related to the extinguishment of debt and $2.5 million of additional interest expense, net incurred in connection with the settlement of interest rate derivatives. These decreases were offset in part by a $1.3 million write-off of deferred financing fees in connection with a reduction in the available borrowings under the Company’s variable funding notes and higher average outstanding debt balances in 2008.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average outstanding borrowings increased $0.3 billion to approximately $1.7 billion in 2008. Our cash borrowing rate was 6.1% in 2008 and 2007.</w:t>
      </w:r>
    </w:p>
    <w:p>
      <w:pPr>
        <w:spacing w:after="0" w:line="16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The other amount of $13.3 million in 2007 represents the premium paid to repurchase and retire the senior subordinated notes that were tendered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tender offer in connection with the Company’s 2007 recapitalization.</w:t>
      </w:r>
    </w:p>
    <w:p>
      <w:pPr>
        <w:spacing w:after="0" w:line="116"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increased $11.2 million to $28.9 million in 2008, due primarily to an increase in pre-tax income.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effective income tax rate increased 3.1 percentage points to 34.9% of pre-tax income in 2008, due primarily to the positive impact of reserve adjustments related to the settlement of certain state income tax matters that were significantly higher in 2007 compared to 2008.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January 3, 2010, we had negative working capital of $31.9 million, excluding restricted cash and cash equivalents of $91.1 million and including total unrestricted cash and cash equivalents of $42.4 million. 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40 to 50 inventory turns per year. In addition, our sales are not typically seasonal, which further limits our working capital requirements. These factors, coupled with significant and ongoing cash flows from operations, which have been primarily used to service our debt obligations, invest in our business and repurchase common stock, reduce our working capital amounts. As of January 3, 2010, the Company had approximately $37.0 million of cash held for future interest payments, $34.9 million of cash held as collateral for outstanding letters of credit, $10.0 million cash held for capitalization of certain subsidiaries, $8.8 million cash held in interest reserves and $0.4 million of other restricted cash, for a total of $91.1 million of restricted cash.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As of January 3, 2010, we had approximately $1.57 billion of total debt, of which $50.4 million was classified as a current liability. Of the $50.4 million classified as current, $50.0 million relates to senior fixed rate notes repurchased subsequent to January 3, 2010. Our primary sources of liquidity are cash flows from operations. As of January 3, 2010, net of $2.4 million pledged for a letter of credit, the Company had no borrowing capacity available under its $60.0 million variable funding notes. During the third quarter of 2009, Domino’s Pizza LLC (DPLLC), a wholly-owned subsidiary of the Company, entered into a Letter of Credit Agreement (the L/C Agreement), pursuant to which the counterparty may issue, at DPLLC’s request, up to $50.0 million of standby letters of credit for the account of DPLLC and its subsidiaries. Pursuant to the L/C Agreement, DPLLC will maintain a cash collateral account holding an amount equal to 105% of any outstanding letters of credit and pay to the counterparty quarterly commitment fees of 0.375% per annum of the unused portion of the standby letters of credit and quarterly letter of credit fees of 0.75% per annum of the undrawn face amount of any outstanding letters of credit. As of January 3, 2010, the Company had $33.3 million of outstanding standby letters of credit under the L/C Agreement and restricted $34.9 million of cash on its consolidated balance sheet as collateral for these outstanding letters of credit. These letters of credit primarily relate to our insurance programs and supply chain center leases.</w:t>
      </w:r>
    </w:p>
    <w:p>
      <w:pPr>
        <w:spacing w:after="0" w:line="33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a result of and concurrent with the execution of the L/C Agreement, the Company terminated substantially all of its pre-existing letters of credit which provided additional borrowing availability under its variable funding notes. During fiscal 2009, the Company borrowed approximately $61.0 million under the variable funding notes and repaid $3.4 million of those borrowings. Subsequent to January 3, 2010, the Company terminated its last pre-existing letter of credit under the variable funding notes facility which provided an additional $2.4 million of borrowing availability under its variable funding notes. As a result, subsequent to fiscal 2009, the Company borrowed an additional $2.4 million under the variable funding notes and currently has no borrowing capacity available under the $60.0 million variable funding notes facility.</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net borrowings under the variable funding notes were used in combination with cash on hand to fund the repurchase and retirement of a portion of the outstanding senior fixed rate notes. During fiscal 2009, the Company repurchased and retired approximately $189.2 million of principal of its outstanding senior fixed rate notes for a total purchase price of approximately $133.9 million, including approximately $1.0 million of accrued interest. Subsequent to fiscal 2009, the Company repurchased and retired $50.0 million of principal of its outstanding senior fixed rate notes for a total purchase price of approximately $44.8 million, including approximately $76,000 of accrued interest.</w:t>
      </w:r>
    </w:p>
    <w:p>
      <w:pPr>
        <w:spacing w:after="0" w:line="13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Despite recent challenges in our domestic operations, including negative domestic same store sales growth in 2008 and 2007, net domestic store closures in 2009 and 2008 and the current economic downturn, including unprecedented volatility in the capital and credit markets, our operating cash flows remain positive. In order to address these challenges and reverse these negative same store sales and store growth trends, we have made changes to our marketing strategies and menu offerings, as well as exited underperforming franchisees from the Domino’s Pizza system. Additionally, we continue to evaluate the overall mix of Company-owned and franchise stores to ensure we have the optimal store base. We expect to use our unrestricted cash and cash equivalents and ongoing cash flows from operations to fund working capital requirements, invest in our core business and reduce our long-term debt. We have historically funded our working capital requirements, capital expenditures, debt repayments and share repurchases primarily from our cash flows from operations and, when necessary, our available borrowings under the variable funding notes. Management believes its current unrestricted cash and cash equivalents balance and its expected ongoing cash flows from operations is sufficient to fund operations for the foreseeable future.</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plan capital expenditures of approximately $20.0 million to $30.0 million in fiscal 2010. These capital expenditures primarily relate to investments in existing Company-owned stores and supply chain centers which we feel are necessary to sustain and grow our business. Additionally, we also plan to make investments in our proprietary internally developed point-of-sale system (Domino’s PULSE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We did not have any material commitments for capital expenditures as of January 3, 2010.</w:t>
      </w:r>
    </w:p>
    <w:p>
      <w:pPr>
        <w:spacing w:after="0" w:line="13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Cash provided by operating activities was $101.3 million in 2009, $75.3 million in 2008 and $84.2 million in 2007. The $26.0 million increase in 2009 versus 2008 was due primarily to a $27.3 million net change in operating assets and liabilities, due primarily to the timing of payments of current operating liabilities. This was offset in part by a $1.2 million decrease in net income excluding non-cash adjustments. The $8.9 million decrease in 2008 versus 2007 was due primarily to a $13.6 million decrease in net income excluding non-cash adjustments, due primarily to lower operating performance in our domestic operations. This was offset in part by a $4.7 million net change in operating assets and liabilities. We are focused on continually improving our net income and cash flow from operations and we do not anticipate that the decline in net income excluding non-cash adjustments will continue over the long term. Additionally, in fiscal 2008, which represents the first full year under our current capital structure, we generated approximately $1.0 million per week on average of free cash flow, and in fiscal 2009 we generated approximately $1.5 million per week on average of free cash flow. Management defines free cash flow as net cash provided by operating activities less capital expenditures. Management expects this trend to continue for the foreseeable future.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$32.9 million in 2009 and $109.5 million in 2007. Cash provided by investing activities was $12.1 million in 2008. The</w:t>
      </w:r>
    </w:p>
    <w:p>
      <w:pPr>
        <w:spacing w:after="0" w:line="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$45.0 million net change in 2009 versus 2008 was due primarily to a $25.1 million decrease in proceeds from the sale of assets primarily as a result of the sale of certain Company-owned operations in 2008 and a $14.4 million change in restricted cash and cash equivalents. The $121.6 million net change in 2008 versus 2007 was due primarily to an $83.0 million change in restricted cash related to our 2007 recapitalization, a $15.5 million increase in proceeds from the sale of property, plant and equipment primarily as a result of the sale of 82 Company-owned stores and a $23.0 million decrease in capital expenditures, due primarily to the purchase of a corporate aircraft in 2007.</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$70.8 million in 2009, $53.5 million in 2008 and $1.6 million in 2007. The $17.3 million net change in 2009 versus 2008 was due primarily to a $118.4 million increase in repayments of long-term debt and capital lease obligations, offset in part by a $58.0 million increase in the proceeds from issuance of long-term debt and a $43.0 million decrease in purchases of common stock. The $51.9 million net change in 2008 versus 2007 was due primarily to a $2.5 billion decrease in proceeds from issuance of long-term debt and a $11.6 million decrease in purchases of common stock, offset in part by a $1.5 billion decrease in repayments of long-term debt and capital lease obligations, an $897.0 million decrease in common stock dividends and equivalents and a $60.1 million decrease in cash paid for financing costs.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February 7, 2007, the Company announced a recapitalization plan comprised of (i) a stock tender offer for up to 13,850,000 shares of the Company’s common stock, (ii) an offer to purchase all of the outstanding Domino’s, Inc. 8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subordinated notes due 2011 pursuant to a debt tender offer, (iii) the repayment of all outstanding borrowings under its senior credit facility and (iv) a planned special cash dividend to stockholders and related anti-dilution payments and adjustments to certain option holders, in each case financed as described below.</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March 8, 2007, the Company entered into a $1.35 billion bridge credit facility agreement, consisting of (i) up to $1.25 billion in bridge term loans and (ii) up to $100 million under a revolving credit facility. Also on March 8, 2007, the Company borrowed $500 million under the bridge term loan facility, which it used to repay all outstanding borrowings under its senior credit agreement, as well as to pay related fees and expenses. Upon repayment of all such outstanding borrowings, the senior credit facility was terminated. On March 9, 2007, the Company borrowed an additional $280 million under the bridge term loan facility, which it used to repurchase and retire at a premium $273.6 million in aggregate principal amount of Domino’s, Inc. 8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subordinated notes due 2011, representing substantially all of the outstanding senior subordinated notes, as well as to pay related fees and expenses. Borrowings under the bridge term loan facility were subject to floating interest rates, as described in the applicable agreements.</w:t>
      </w:r>
    </w:p>
    <w:p>
      <w:pPr>
        <w:spacing w:after="0" w:line="14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On March 9, 2007, the Company announced the acceptance for purchase of 2,242 shares of its common stock under its stock tender offer at a purchase price of $30.00 per share, for a total purchase price of approximately $67,000.</w:t>
      </w:r>
    </w:p>
    <w:p>
      <w:pPr>
        <w:spacing w:after="0" w:line="1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April 16, 2007, a wholly-owned subsidiary of Domino’s Pizza LLC and three of its wholly-owned subsidiaries completed an asset-backed securitization (ABS) by co-issuing a $1.85 billion facility in a private transaction consisting of $1.6 billion of 5.261% Fixed Rate Series 2007-1 Senior Notes, Class A-2 (Class A-2 Notes), $100.0 million of 7.629% Fixed Rate Series 2007-1 Subordinated Notes, Class M-1 (Class M-1 Notes and collectively with Class A-2 Notes, the Fixed Rate Notes) and $150.0 million of Variable Rate Series 2007-1 Senior Variable Funding Notes, Class A-1 (the Variable Funding Notes). Gross proceeds from the issuance of the Fixed Rate Notes were $1.7 billion. The Variable Funding Notes were undrawn upon at issuance. The Company used a portion of the Fixed Rate Note proceeds to (i) repay in full all outstanding bridge term loans and terminate the bridge facility credit agreement, (ii) capitalize certain new subsidiaries, and (iii) pay $38.1 million of ABS debt financing fees. The Company concurrently wrote-off the unamortized deferred financing fees related to the previously outstanding bridge facility credit agreement of approximately $21.9 million. During 2008, one of the Company’s Variable Funding Notes providers (the Primary VFN Provider) declared bankruptcy. As a result of the Primary VFN Provider’s bankruptcy, the Company’s ability to draw upon the Variable Funding Notes was reduced to $60.0 million.</w:t>
      </w:r>
    </w:p>
    <w:p>
      <w:pPr>
        <w:spacing w:after="0" w:line="1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2007, the Company settled its then outstanding five-year forward starting interest rate swap agreement with a total notional amount of $1.25 billion. This interest rate swap agreement was settled in cash for $11.5 million, in accordance with its terms, concurrent with the issuance of the securitized debt. In connection with this settlement, the other comprehensive income amount was adjusted for the after-tax net settlement amount of $7.1 million which is being amortized into interest expense over the remaining term of the hedged item.</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Senior Notes accrue interest at a fixed rate of 5.261% per year and the Subordinated Notes will accrue interest at a fixed rate of 7.629%. Accrued interest is due and payable quarterly, commencing on October 25, 2007. The Fixed Rate Notes require no annual principal payments and the expected repayment date is April 25, 2014, with legal final maturity on April 27, 2037. The Fixed Rate Notes are subject to certain financial covenants, including a debt service coverage calculation, as defined in the related agreements.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the Board of Directors approved an open market share repurchase program for up to $200.0 million of the Company’s common stock, which has historically been funded by future free cash flows and borrowings available under the Variable Funding Notes. The Company used approximately $42.9 million in 2008 for share repurchases under this program and has $102.7 million left under the $200.0 million authorization. The Company did not repurchase any of its common shares in 2009 as it focused on reducing outstanding Class A-2 Notes. The Company expects to continue to use available unrestricted cash and cash equivalents and ongoing free cash flow generation to, among other things, reduce its debt obligations; however, it will continue to evaluate share repurchases in the future as a use for cash generated by the Company.</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Based upon the current level of operations and anticipated growth, we believe that the cash generated from operations and amounts available under the Variable Funding Notes will be adequate to meet our anticipated debt service requirements, capital expenditures and working capital needs for the foreseeable future. Our ability to continue to fund these items and continue to reduce debt could be adversely affected by the occurrence of any of the events described in Item 1A., Risk Factors. There can be no assurance, however,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the Fixed Rate Notes and to service, extend or refinance the Variable Funding Notes will be subject to future economic conditions and to financial, business and other factors, many of which are beyond our control.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inflation</w:t>
      </w:r>
    </w:p>
    <w:p>
      <w:pPr>
        <w:spacing w:after="0" w:line="16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We believe that our results of operations are not materially impacted by moderate changes in the inflation rate. Inflation did not have a material impact on our operations in 2007, 2008 or 2009. Severe increases in inflation, however,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2009, the Financial Accounting Standards Board (FASB) issued guidance on the Accounting Standards Codification (ASC or the Codification). The Codification became the single source of authoritative accounting principles recognized by the FASB to be applied by nongovernmental entities in the preparation of financial statements in conformity with generally accepted accounting principles (GAAP). The Codification is effective for interim and annual periods ending after September 15, 2009. The Company adopted the Codification during the quarter and fiscal year ending January 3, 2010 and as such there are no references to the Statement of Financial Accounting Standards (SFAS) or other U.S. GAAP pronouncements throughout this annual report on Form 10-K. There was no impact on the consolidated results of the Company.</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February 2008, the FASB issued authoritative guidance that allowed a one-year deferral for nonfinancial assets and nonfinancial liabilities that are recognized or disclosed at fair value in the financial statements on a nonrecurring basis. The Company elected this one-year deferral and began applying the provisions to nonfinancial assets and nonfinancial liabilities that are recognized at fair value in the financial statements on a nonrecurring basis in the current fiscal year beginning December 29, 2008. We generally apply fair value techniques on a nonrecurring basis associated with (1) valuing potential impairment loss related to goodwill and indefinite-lived intangible assets, and (2) valuing potential impairment loss related to long-lived assets.</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March 2008, the FASB issued authoritative guidance for derivatives and hedging which requires entities that use derivative instruments to provide qualitative disclosures about their objectives and strategies for using such instruments, as well as any details of credit-risk-related contingent features contained within derivatives. This guidance also requires entities to disclose additional information about the amounts and location of derivatives located within the financial statements, how the guidance has been applied and the impact that hedges have on an entity’s financial position, financial performance, and cash flows. The Company does not currently hold derivative instruments and was not impacted by the adoption of this authoritative guidance.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May 2009, the FASB issued authoritative guidance for subsequent events that establishes general standards of accounting for and disclosure of events that occur after the balance sheet date but before financial statements are issued or are available to be issued. This guidance requires public companies to evaluate subsequent events through the date the financial statements are issued. This guidance is effective for interim and annual periods ending after June 15, 2009. The Company adopted the authoritative guidance in the third quarter of 2009. The Company evaluated subsequent events occurring after January 3, 2010 through the date the financial statements were issued and filed with the Securities and Exchange Commission. The Company determined there were no additional subsequent events that required recognition or disclosure.</w:t>
      </w:r>
    </w:p>
    <w:p>
      <w:pPr>
        <w:spacing w:after="0" w:line="13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In June 2009, the FASB issued authoritative guidance that includes: (1) the elimination of the exemption for qualifying special purpose entities; (2) a new approach for determining who should consolidate a variable-interest entity; and (3) changes to when it is necessary to reassess who should consolidate a variable-interest entity. This guidance is effective for the first annual reporting period beginning after November 15, 2009 and for interim periods within that first annual reporting period. The Company will adopt this guidance in fiscal 2010 and is evaluating the impact it will have on the consolidated results of the Company.</w:t>
      </w:r>
    </w:p>
    <w:p>
      <w:pPr>
        <w:spacing w:after="0" w:line="10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our consolidated financial statements upon adoption.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significant contractual obligations at January 3,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31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2010</w:t>
            </w:r>
          </w:p>
        </w:tc>
        <w:tc>
          <w:tcPr>
            <w:tcW w:w="6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2013</w:t>
            </w:r>
          </w:p>
        </w:tc>
        <w:tc>
          <w:tcPr>
            <w:tcW w:w="8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8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7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(1):</w:t>
            </w:r>
          </w:p>
        </w:tc>
        <w:tc>
          <w:tcPr>
            <w:tcW w:w="3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(2)</w:t>
            </w:r>
          </w:p>
        </w:tc>
        <w:tc>
          <w:tcPr>
            <w:tcW w:w="3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$50.0</w:t>
            </w: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$1,518.4</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r>
      <w:tr>
        <w:trPr>
          <w:trHeight w:val="216"/>
        </w:trPr>
        <w:tc>
          <w:tcPr>
            <w:tcW w:w="4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(3)</w:t>
            </w:r>
          </w:p>
        </w:tc>
        <w:tc>
          <w:tcPr>
            <w:tcW w:w="3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90.1</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90.1</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90.1</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90.1</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w:t>
            </w:r>
          </w:p>
        </w:tc>
        <w:tc>
          <w:tcPr>
            <w:tcW w:w="3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(4)</w:t>
            </w:r>
          </w:p>
        </w:tc>
        <w:tc>
          <w:tcPr>
            <w:tcW w:w="3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38.6</w:t>
            </w: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32.9</w:t>
            </w: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25.2</w:t>
            </w: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bl>
    <w:p>
      <w:pPr>
        <w:spacing w:after="0" w:line="188" w:lineRule="exact"/>
        <w:rPr>
          <w:sz w:val="20"/>
          <w:szCs w:val="20"/>
          <w:color w:val="auto"/>
        </w:rPr>
      </w:pPr>
    </w:p>
    <w:p>
      <w:pPr>
        <w:ind w:left="460" w:right="40" w:hanging="452"/>
        <w:spacing w:after="0" w:line="253"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long-term debt noted within the table above reflects the Company’s expected repayment date of April 25, 2014, rather than the legal maturity date of April 27, 2037. In the event that the Fixed Rate Notes are not repaid in full by April 25, 2012 and certain covenants are met, the Company has the option to extend the maturities of the Fixed Rate Notes for two one-year terms at interest rates that may be higher than the current stated rates, depending on the then current LIBOR rates and the Company’s performance against certain covenants. During the extension periods, partial principal repayments may be due depending on performance against certain covenants. Following the extension periods, or if the Company does not qualify for the extensions in 2012 and 2013, all cash generated by the Company less a specific amount allocated to the Company as a servicing fee must be used to pay down outstanding principal and interest rates may be higher than previous extension periods. As of January 3, 2010, the Company believes it will qualify for these extensions and intends to take advantage of this interest-only period of payments for the full seven years to the extent such extension periods remain available to the Company.</w:t>
      </w:r>
    </w:p>
    <w:p>
      <w:pPr>
        <w:spacing w:after="0" w:line="62" w:lineRule="exact"/>
        <w:rPr>
          <w:rFonts w:ascii="Times New Roman" w:cs="Times New Roman" w:eastAsia="Times New Roman" w:hAnsi="Times New Roman"/>
          <w:sz w:val="18"/>
          <w:szCs w:val="18"/>
          <w:color w:val="auto"/>
        </w:rPr>
      </w:pPr>
    </w:p>
    <w:p>
      <w:pPr>
        <w:jc w:val="both"/>
        <w:ind w:left="460" w:right="120" w:hanging="452"/>
        <w:spacing w:after="0" w:line="310" w:lineRule="auto"/>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long-term debt contractual obligations included above differ from the long-term debt amounts reported in our consolidated financial statements as the above amounts do not include the effect of unamortized debt discounts of approximately $30,000 at January 3, 2010. Additionally, the principal portion of the capital lease obligation amounts above, which totaled $4.5 million at January 3, 2010, are classified as debt in our consolidated financial statements.</w:t>
      </w:r>
    </w:p>
    <w:p>
      <w:pPr>
        <w:spacing w:after="0" w:line="16" w:lineRule="exact"/>
        <w:rPr>
          <w:rFonts w:ascii="Times New Roman" w:cs="Times New Roman" w:eastAsia="Times New Roman" w:hAnsi="Times New Roman"/>
          <w:sz w:val="16"/>
          <w:szCs w:val="16"/>
          <w:color w:val="auto"/>
        </w:rPr>
      </w:pPr>
    </w:p>
    <w:p>
      <w:pPr>
        <w:jc w:val="both"/>
        <w:ind w:left="460" w:right="20" w:hanging="452"/>
        <w:spacing w:after="0" w:line="26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our variable funding notes is based primarily on a current commercial paper rate plus 0.5%. The interest rate on Class A-2 notes is fixed at 5.261% per year. The interest rate on our Class M-1 notes is fixed at 7.269%. If the securitized debt is extended or refinanced, interest rates may be equal to or higher than the current stated rates.</w:t>
      </w:r>
    </w:p>
    <w:p>
      <w:pPr>
        <w:spacing w:after="0" w:line="51" w:lineRule="exact"/>
        <w:rPr>
          <w:rFonts w:ascii="Times New Roman" w:cs="Times New Roman" w:eastAsia="Times New Roman" w:hAnsi="Times New Roman"/>
          <w:sz w:val="18"/>
          <w:szCs w:val="18"/>
          <w:color w:val="auto"/>
        </w:rPr>
      </w:pPr>
    </w:p>
    <w:p>
      <w:pPr>
        <w:ind w:left="460" w:right="440" w:hanging="452"/>
        <w:spacing w:after="0" w:line="27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certain retail store and supply chain center locations, supply chain vehicles, various equipment and our World Resource Center, which is our corporate headquarters, under leases with expiration dates through 2019.</w:t>
      </w:r>
    </w:p>
    <w:p>
      <w:pPr>
        <w:spacing w:after="0" w:line="12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Liabilities for unrecognized tax benefits of $6.8 million are excluded from the above table, as we are unable to make a reasonably reliable estimate of the amount and period of payment. For additional information on unrecognized tax benefits see Note 4 to the consolidated financial statements included in this Form 10-K.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party to letters of credit and, to a lesser extent, financial guarantees with off-balance sheet risk. Our exposure to credit loss for letters of credit and financial guarantees is represented by the contractual amounts of these instruments. Total conditional commitments under letters of credit as of January 3, 2010 were $35.7 million and relate to our insurance programs and supply chain center leases. The Company has restricted $34.9 million of cash on its consolidated balance sheet as collateral for these letters of credit. The Company has also guaranteed borrowings of franchisees of approximately $1.7 million as of January 3, 2010. Additionally, the Company has guaranteed lease payments related to certain franchisees’ lease arrangements. The maximum amount of potential future payments under these guarantees is $4.8 million as of January 3, 2010. We believe that none of these arrangements has or is likely to have a material effect on our results of operations, financial condition or liquidity.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7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Forward-looking statements include information concerning future results of operations, and business strategy. Also, statements that contain words such as “anticipate,” “believe,” “could,” “estimate,” “expect,” “intend,” “may,” “plan,” “predict,” “project,” “will,” “potential,” “outlook” and similar terms and phrases, including references to assumptions, are forward-looking statements. These forward-looking statements relating to our anticipated profitability, the growth of our international business, ability to service our indebtedness, our intentions with respect to the extension of the interest-only period on our fixed notes, our operating performance, the anticipated success of our new core pizza product,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 Actual results may differ materially from those in the forward looking statements as a result of various factors, including but not limited to, the following:</w:t>
      </w:r>
    </w:p>
    <w:p>
      <w:pPr>
        <w:spacing w:after="0" w:line="146"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increased indebtedness as a result of the recapitalization in 2007 and our ability to incur additional indebtedness;</w:t>
      </w:r>
    </w:p>
    <w:p>
      <w:pPr>
        <w:spacing w:after="0" w:line="2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initiatives;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needs;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franchisees;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cost-saving strategies;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operating costs, including cheese, fuel and other commodity costs and the minimum wage;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domestically and internationally in our intensely competitive industry;</w:t>
      </w:r>
    </w:p>
    <w:p>
      <w:pPr>
        <w:spacing w:after="0" w:line="9"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 our ability to retain or replace our executive officers and other key members of management and our ability to adequately staff our stores and supply chain centers with qualified personnel;</w:t>
      </w:r>
    </w:p>
    <w:p>
      <w:pPr>
        <w:spacing w:after="0" w:line="1" w:lineRule="exact"/>
        <w:rPr>
          <w:sz w:val="20"/>
          <w:szCs w:val="20"/>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principal and interest on our substantial debt;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and/or retain suitable real estate for our stores and supply chain centers;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legislation, regulation or publicity;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judgments or settlements;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taste, demographic trends and traffic patterns;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influence of investment funds associated with Bain Capital, LLC, and their ability to, among other things, delay, deter or prevent  a change of control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business combination;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adequacy of insurance coverage.</w:t>
      </w:r>
    </w:p>
    <w:p>
      <w:pPr>
        <w:spacing w:after="0" w:line="1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All forward-looking statements should be evaluated with the understanding of their inherent uncertainty. We undertake no obligation to publicly update or revise any forward-looking statements, whether as a result of new information, future events or otherwise. In light of these risks, uncertainties and assumptions, the forward-looking events discussed in this Annual Report on Form 10-K might not occur.</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Form 10-K. Except as required under federal securities laws and the rules and regulations of the Securities and Exchange Commission, we do not have any intention to update any forward-looking statements to reflect events or circumstances arising after the date of this Form 10-K, whether as a result of new information, future events or otherwise. As a result of these risks and uncertainties, 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Market risk</w:t>
      </w:r>
    </w:p>
    <w:p>
      <w:pPr>
        <w:spacing w:after="0" w:line="17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Prior to our recapitalization that was completed in 2007, we were exposed to market risk from interest rate changes on our variable rate debt. Management actively monitored this exposure. We do not engage in speculative transactions nor do we hold or issue financial instruments for trading purposes. In connection with the recapitalization in 2007, we issued fixed rate notes and, at January 3, 2010, we are only exposed to interest rate risk on borrowings under our variable funding notes. As of January 3, 2010, we had $57.6 million outstanding under our variable funding note facility. Our fixed rate debt exposes the Company to changes in market interest rates reflected in the fair value of the debt and to the risk that the Company may need to refinance maturing debt with new debt at a higher rate.</w:t>
      </w:r>
    </w:p>
    <w:p>
      <w:pPr>
        <w:spacing w:after="0" w:line="13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nor do we hold or issue financial instruments for trading purposes. In instances when we use forward pricing agreements with our suppliers, they always cover our physical commodity needs, are not net-settled and are accounted for as normal purchases.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Interest rate derivatives</w:t>
      </w:r>
    </w:p>
    <w:p>
      <w:pPr>
        <w:spacing w:after="0" w:line="17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From time to time we have entered into interest rate swaps, collars or similar instruments with the objective of managing volatility relating to our borrowing costs.</w:t>
      </w:r>
    </w:p>
    <w:p>
      <w:pPr>
        <w:spacing w:after="0" w:line="12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February 12, 2007, the Company entered into a five-year forward-starting interest rate swap agreement with a notional amount of $1.25 billion to hedge the interest rate variability of the coupon payments associated with the issuance of $1.85 billion of securitized debt in connection with the recapitalization. On April 16, 2007, the swap agreement was settled in cash for $11.5 million, in accordance with its terms, concurrent with the issuance of the securitized debt. In connection with this settlement, the other comprehensive income amount was adjusted for the after-tax net settlement amount of $7.1 million which is being amortized into interest expense over the remaining term of the hedged item. At January 3, 2010, the Company does not have any interest rate derivatives outstanding.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Foreign currency exchange rate risk</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United States, which can adversely impact our net income and cash flows. Total revenues of approximately 8.7% in 2007, 10.0% in 2008 and 10.5% in 2009 were derived from sales to customers and royalties from franchisees outside the contiguous United States. This business is conducted in the local currency but royalty payments are generally remitted to us in U.S. dollars. We do not enter into financial instruments to manage this foreign currency exchange risk.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Domino’s Pizza, Inc.:</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listed in the index appearing under Item 15(a)(1) present fairly, in all material respects, the financial position of Domino’s Pizza, Inc. and its subsidiaries at January 3, 2010 and December 28, 2008, and the results of their operations and their cash flows for each of the three years in the period ended January 3, 2010 in conformity with accounting principles generally accepted in the United States of America. In addition, in our opinion, the financial statement schedules listed in the index appearing under Item 15(a)(2) present fairly, in all material respects, the information set forth therein when read in conjunction with the related consolidated financial statements. Also in our opinion, the Company maintained, in all material respects, effective internal control over financial reporting as of January 3, 2010,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color w:val="auto"/>
                <w:w w:val="97"/>
              </w:rPr>
              <w:t>DOMINO’S PIZZA, INC. AND SUBSIDIARIES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6"/>
              </w:rPr>
              <w:t>CONSOLIDATED BALANCE SHEETS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gridSpan w:val="7"/>
          </w:tcPr>
          <w:p>
            <w:pPr>
              <w:jc w:val="center"/>
              <w:ind w:left="2252"/>
              <w:spacing w:after="0"/>
              <w:rPr>
                <w:sz w:val="20"/>
                <w:szCs w:val="20"/>
                <w:color w:val="auto"/>
              </w:rPr>
            </w:pPr>
            <w:r>
              <w:rPr>
                <w:rFonts w:ascii="Times New Roman" w:cs="Times New Roman" w:eastAsia="Times New Roman" w:hAnsi="Times New Roman"/>
                <w:sz w:val="18"/>
                <w:szCs w:val="18"/>
                <w:color w:val="auto"/>
                <w:w w:val="97"/>
              </w:rPr>
              <w:t>(In thousands, except share and per share amounts)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28,</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45,372</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Accounts receivable, net of reserves of $10,949 in 2008 and $9,190 in 2009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69,390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Notes receivable, net of reserves of $151 in 2008 and $257 in 2009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254,251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Land and buildings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167,470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274,776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(166,346)</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6"/>
              </w:rPr>
              <w:t>(176,940)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Investments in marketable securities, restricted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7"/>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Notes receivable, less current portion, net of</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7"/>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reserves of $1,640 in 2008 and $865 in 2009</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1,742</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7"/>
          </w:tcPr>
          <w:p>
            <w:pPr>
              <w:ind w:left="420"/>
              <w:spacing w:after="0" w:line="201" w:lineRule="exact"/>
              <w:rPr>
                <w:sz w:val="20"/>
                <w:szCs w:val="20"/>
                <w:color w:val="auto"/>
              </w:rPr>
            </w:pPr>
            <w:r>
              <w:rPr>
                <w:rFonts w:ascii="Times New Roman" w:cs="Times New Roman" w:eastAsia="Times New Roman" w:hAnsi="Times New Roman"/>
                <w:sz w:val="18"/>
                <w:szCs w:val="18"/>
                <w:color w:val="auto"/>
              </w:rPr>
              <w:t>Deferred financing costs, net of accumulated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4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amortization of $12,624 in 2008 and $18,167 in 2009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24,457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7"/>
          </w:tcPr>
          <w:p>
            <w:pPr>
              <w:ind w:left="420"/>
              <w:spacing w:after="0" w:line="201" w:lineRule="exact"/>
              <w:rPr>
                <w:sz w:val="20"/>
                <w:szCs w:val="20"/>
                <w:color w:val="auto"/>
              </w:rPr>
            </w:pPr>
            <w:r>
              <w:rPr>
                <w:rFonts w:ascii="Times New Roman" w:cs="Times New Roman" w:eastAsia="Times New Roman" w:hAnsi="Times New Roman"/>
                <w:sz w:val="18"/>
                <w:szCs w:val="18"/>
                <w:color w:val="auto"/>
              </w:rPr>
              <w:t>Capitalized software, net of accumulated 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4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of $48,723 in 2008 and $48,063 in 2009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7"/>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Other assets, net of accumulated amortization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7"/>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of $3,108 in 2008 and $3,439 in 2009</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9,260</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43,049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463,794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gridSpan w:val="7"/>
            <w:vMerge w:val="restart"/>
          </w:tcPr>
          <w:p>
            <w:pPr>
              <w:jc w:val="center"/>
              <w:ind w:left="227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consolidated statements.</w:t>
            </w: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904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6"/>
          </w:tcPr>
          <w:p>
            <w:pPr>
              <w:jc w:val="center"/>
              <w:ind w:left="4172"/>
              <w:spacing w:after="0"/>
              <w:rPr>
                <w:sz w:val="20"/>
                <w:szCs w:val="20"/>
                <w:color w:val="auto"/>
              </w:rPr>
            </w:pPr>
            <w:r>
              <w:rPr>
                <w:rFonts w:ascii="Times New Roman" w:cs="Times New Roman" w:eastAsia="Times New Roman" w:hAnsi="Times New Roman"/>
                <w:sz w:val="18"/>
                <w:szCs w:val="18"/>
                <w:color w:val="auto"/>
                <w:w w:val="99"/>
              </w:rPr>
              <w:t>45</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-566420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-566420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-566420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-566420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900" w:type="dxa"/>
            <w:vAlign w:val="bottom"/>
            <w:gridSpan w:val="5"/>
          </w:tcPr>
          <w:p>
            <w:pPr>
              <w:jc w:val="center"/>
              <w:ind w:right="1400"/>
              <w:spacing w:after="0"/>
              <w:rPr>
                <w:sz w:val="20"/>
                <w:szCs w:val="20"/>
                <w:color w:val="auto"/>
              </w:rPr>
            </w:pPr>
            <w:r>
              <w:rPr>
                <w:rFonts w:ascii="Times New Roman" w:cs="Times New Roman" w:eastAsia="Times New Roman" w:hAnsi="Times New Roman"/>
                <w:sz w:val="18"/>
                <w:szCs w:val="18"/>
                <w:color w:val="auto"/>
                <w:w w:val="97"/>
              </w:rPr>
              <w:t>DOMINO’S PIZZA, INC. AND SUBSIDIARIES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6"/>
              </w:rPr>
              <w:t>CONSOLIDATED BALANCE SHEETS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(Continued)</w:t>
            </w:r>
          </w:p>
        </w:tc>
        <w:tc>
          <w:tcPr>
            <w:tcW w:w="17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240" w:type="dxa"/>
            <w:vAlign w:val="bottom"/>
            <w:gridSpan w:val="6"/>
          </w:tcPr>
          <w:p>
            <w:pPr>
              <w:jc w:val="center"/>
              <w:ind w:left="852"/>
              <w:spacing w:after="0"/>
              <w:rPr>
                <w:sz w:val="20"/>
                <w:szCs w:val="20"/>
                <w:color w:val="auto"/>
              </w:rPr>
            </w:pPr>
            <w:r>
              <w:rPr>
                <w:rFonts w:ascii="Times New Roman" w:cs="Times New Roman" w:eastAsia="Times New Roman" w:hAnsi="Times New Roman"/>
                <w:sz w:val="18"/>
                <w:szCs w:val="18"/>
                <w:color w:val="auto"/>
                <w:w w:val="97"/>
              </w:rPr>
              <w:t>(In thousands, except share and per share amounts)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240" w:type="dxa"/>
            <w:vAlign w:val="bottom"/>
            <w:gridSpan w:val="6"/>
          </w:tcPr>
          <w:p>
            <w:pPr>
              <w:ind w:left="74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6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Insurance reserves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1,704,444</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1,522,463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Insurance reserves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1,738,863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1,555,332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1,774,755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gridSpan w:val="7"/>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Common stock, par value $0.01 per share; 170,000,000 shares authorized; 56,984,155 in 2008 and 58,572,859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gridSpan w:val="7"/>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 2009 issued and outstanding</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none issued</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(1,421,705)</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(1,341,961)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(1,424,623)</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(1,320,994)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7"/>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463,794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40" w:type="dxa"/>
            <w:vAlign w:val="bottom"/>
            <w:gridSpan w:val="6"/>
          </w:tcPr>
          <w:p>
            <w:pPr>
              <w:jc w:val="center"/>
              <w:ind w:left="87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consolidated statements.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40" w:type="dxa"/>
            <w:vAlign w:val="bottom"/>
            <w:gridSpan w:val="5"/>
          </w:tcPr>
          <w:p>
            <w:pPr>
              <w:jc w:val="center"/>
              <w:ind w:left="4592"/>
              <w:spacing w:after="0"/>
              <w:rPr>
                <w:sz w:val="20"/>
                <w:szCs w:val="20"/>
                <w:color w:val="auto"/>
              </w:rPr>
            </w:pPr>
            <w:r>
              <w:rPr>
                <w:rFonts w:ascii="Times New Roman" w:cs="Times New Roman" w:eastAsia="Times New Roman" w:hAnsi="Times New Roman"/>
                <w:sz w:val="18"/>
                <w:szCs w:val="18"/>
                <w:color w:val="auto"/>
                <w:w w:val="99"/>
              </w:rPr>
              <w:t>46</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-566420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-566420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-566420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-566420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-566420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5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DOMINO’S PIZZA, INC. AND SUBSIDIARIES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6"/>
              </w:rPr>
              <w:t>CONSOLIDATED STATEMENTS OF INCOME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 thousands, except per share amounts)</w:t>
            </w:r>
          </w:p>
        </w:tc>
        <w:tc>
          <w:tcPr>
            <w:tcW w:w="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w w:val="98"/>
              </w:rPr>
              <w:t>For the Years Ended</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30,</w:t>
            </w:r>
          </w:p>
        </w:tc>
        <w:tc>
          <w:tcPr>
            <w:tcW w:w="36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28,</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9"/>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357,703</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Domestic franchise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Domestic supply chain</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771,106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1,425,114</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1,404,057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Domestic Company-owned stores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298,857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Domestic supply chain</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699,669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63,327</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1,061,853</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1,017,081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(130,374)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(114,906)</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(110,945)</w:t>
            </w:r>
          </w:p>
        </w:tc>
        <w:tc>
          <w:tcPr>
            <w:tcW w:w="0" w:type="dxa"/>
            <w:vAlign w:val="bottom"/>
          </w:tcPr>
          <w:p>
            <w:pPr>
              <w:spacing w:after="0"/>
              <w:rPr>
                <w:sz w:val="1"/>
                <w:szCs w:val="1"/>
                <w:color w:val="auto"/>
              </w:rPr>
            </w:pPr>
          </w:p>
        </w:tc>
      </w:tr>
      <w:tr>
        <w:trPr>
          <w:trHeight w:val="322"/>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(13,294)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28,899</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5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Common Stock – 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-575945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-575945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-575945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-575945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-575945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-575945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-575945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-575945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-575945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DOMINO’S PIZZA, INC. AND SUBSIDIARIES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620" w:type="dxa"/>
            <w:vAlign w:val="bottom"/>
            <w:gridSpan w:val="10"/>
          </w:tcPr>
          <w:p>
            <w:pPr>
              <w:jc w:val="center"/>
              <w:ind w:left="2672"/>
              <w:spacing w:after="0"/>
              <w:rPr>
                <w:sz w:val="20"/>
                <w:szCs w:val="20"/>
                <w:color w:val="auto"/>
              </w:rPr>
            </w:pPr>
            <w:r>
              <w:rPr>
                <w:rFonts w:ascii="Times New Roman" w:cs="Times New Roman" w:eastAsia="Times New Roman" w:hAnsi="Times New Roman"/>
                <w:sz w:val="18"/>
                <w:szCs w:val="18"/>
                <w:color w:val="auto"/>
                <w:w w:val="96"/>
              </w:rPr>
              <w:t>CONSOLIDATED STATEMENTS OF COMPREHENSIVE INCOME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(In thousands)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w w:val="99"/>
              </w:rPr>
              <w:t>For the Years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30,</w:t>
            </w:r>
          </w:p>
        </w:tc>
        <w:tc>
          <w:tcPr>
            <w:tcW w:w="42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28,</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37,882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5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Unrealized losses on derivative instruments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(13,516)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Reclassification adjustment for losses included in net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 ATTRIBUTES OF ITEMS IN OTHER COMPREHENSIVE INCOME (LOSS)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Unrealized losses on derivative instruments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Reclassification adjustment for losses included in net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30,018</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808080"/>
            </w:tcBorders>
            <w:gridSpan w:val="3"/>
          </w:tcPr>
          <w:p>
            <w:pPr>
              <w:spacing w:after="0"/>
              <w:rPr>
                <w:sz w:val="11"/>
                <w:szCs w:val="11"/>
                <w:color w:val="auto"/>
              </w:rPr>
            </w:pPr>
          </w:p>
        </w:tc>
        <w:tc>
          <w:tcPr>
            <w:tcW w:w="340" w:type="dxa"/>
            <w:vAlign w:val="bottom"/>
            <w:tcBorders>
              <w:bottom w:val="single" w:sz="8" w:color="808080"/>
            </w:tcBorders>
            <w:gridSpan w:val="2"/>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620" w:type="dxa"/>
            <w:vAlign w:val="bottom"/>
            <w:gridSpan w:val="10"/>
          </w:tcPr>
          <w:p>
            <w:pPr>
              <w:jc w:val="center"/>
              <w:ind w:left="269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consolidated statements.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60" w:type="dxa"/>
            <w:vAlign w:val="bottom"/>
            <w:gridSpan w:val="4"/>
          </w:tcPr>
          <w:p>
            <w:pPr>
              <w:jc w:val="center"/>
              <w:ind w:left="3872"/>
              <w:spacing w:after="0"/>
              <w:rPr>
                <w:sz w:val="20"/>
                <w:szCs w:val="20"/>
                <w:color w:val="auto"/>
              </w:rPr>
            </w:pPr>
            <w:r>
              <w:rPr>
                <w:rFonts w:ascii="Times New Roman" w:cs="Times New Roman" w:eastAsia="Times New Roman" w:hAnsi="Times New Roman"/>
                <w:sz w:val="18"/>
                <w:szCs w:val="18"/>
                <w:color w:val="auto"/>
                <w:w w:val="99"/>
              </w:rPr>
              <w:t>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-566420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-566420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-566420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-566420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-566420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-566420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-566420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STOCKHOLDERS’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color w:val="auto"/>
                <w:w w:val="96"/>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7"/>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color w:val="auto"/>
                <w:w w:val="95"/>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Currency</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2"/>
                <w:szCs w:val="12"/>
                <w:color w:val="auto"/>
              </w:rPr>
            </w:pPr>
          </w:p>
        </w:tc>
        <w:tc>
          <w:tcPr>
            <w:tcW w:w="1080" w:type="dxa"/>
            <w:vAlign w:val="bottom"/>
            <w:gridSpan w:val="4"/>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of Derivative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Shares</w:t>
            </w:r>
          </w:p>
        </w:tc>
        <w:tc>
          <w:tcPr>
            <w:tcW w:w="7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w w:val="95"/>
              </w:rPr>
              <w:t>Amount</w:t>
            </w:r>
          </w:p>
        </w:tc>
        <w:tc>
          <w:tcPr>
            <w:tcW w:w="10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5"/>
                <w:szCs w:val="15"/>
                <w:color w:val="auto"/>
              </w:rPr>
            </w:pPr>
          </w:p>
        </w:tc>
        <w:tc>
          <w:tcPr>
            <w:tcW w:w="10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color w:val="auto"/>
              </w:rPr>
              <w:t>Deficit</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Adjustment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w w:val="99"/>
              </w:rPr>
              <w:t>Instruments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62,450,804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(701,520)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dividends and equivalents</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(140,946)</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(756,026)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288,172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(3,616,552)</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(29,324)</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(25,188)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542,663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benefit related to stock options</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Unrealized losses on derivative</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instruments, net of tax</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Reclassification adjustment for losses 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derivative instruments included in</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income, net of tax</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59,665,087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(1,444,938)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552,491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(3,369,522)</w:t>
            </w:r>
          </w:p>
        </w:tc>
        <w:tc>
          <w:tcPr>
            <w:tcW w:w="14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(12,204)</w:t>
            </w:r>
          </w:p>
        </w:tc>
        <w:tc>
          <w:tcPr>
            <w:tcW w:w="100" w:type="dxa"/>
            <w:vAlign w:val="bottom"/>
          </w:tcPr>
          <w:p>
            <w:pPr>
              <w:spacing w:after="0"/>
              <w:rPr>
                <w:sz w:val="18"/>
                <w:szCs w:val="18"/>
                <w:color w:val="auto"/>
              </w:rPr>
            </w:pPr>
          </w:p>
        </w:tc>
        <w:tc>
          <w:tcPr>
            <w:tcW w:w="10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(30,738)</w:t>
            </w: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benefit related to stock options</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Reclassification adjustment for losses 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derivative instruments included in</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income, net of tax</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2008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56,984,155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(1,421,705)</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1,365,903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222,801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benefit related to stock options</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Reclassification adjustment for losses</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on derivative instruments included in</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income, net of tax</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 2010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58,572,859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(1,341,961)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DOMINO’S PIZZA, INC. AND SUBSIDIARIES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6"/>
              </w:rPr>
              <w:t>CONSOLIDATED STATEMENTS OF CASH FLOWS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thousands)</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w w:val="98"/>
              </w:rPr>
              <w:t>For the Years Ended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30,</w:t>
            </w:r>
          </w:p>
        </w:tc>
        <w:tc>
          <w:tcPr>
            <w:tcW w:w="40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28,</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37,882</w:t>
            </w:r>
          </w:p>
        </w:tc>
        <w:tc>
          <w:tcPr>
            <w:tcW w:w="60" w:type="dxa"/>
            <w:vAlign w:val="bottom"/>
          </w:tcPr>
          <w:p>
            <w:pPr>
              <w:spacing w:after="0"/>
              <w:rPr>
                <w:sz w:val="18"/>
                <w:szCs w:val="18"/>
                <w:color w:val="auto"/>
              </w:rPr>
            </w:pP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53,971</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31,176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Gains on debt extinguishment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(Gains) losses on sale/disposal of assets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deferred financing costs, debt discount and 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Decrease (increase) in inventories, prepaid expenses and 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Increase (decrease) in accounts payable and accrued liabilities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(20,983)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Increase (decrease) in insurance reserves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84,188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(42,415)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(19,411)</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(80,951)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(109,469)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2,524,938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of long-term debt and capital lease obligation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(1,547,201)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Cash paid for financing costs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(60,337)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benefit from stock options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22,113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(54,548)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(42,976)</w:t>
            </w: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dividends and equivalents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(896,972)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(53,531)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(26,878)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322"/>
        </w:trPr>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38,222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808080"/>
            </w:tcBorders>
            <w:gridSpan w:val="2"/>
          </w:tcPr>
          <w:p>
            <w:pPr>
              <w:spacing w:after="0"/>
              <w:rPr>
                <w:sz w:val="11"/>
                <w:szCs w:val="11"/>
                <w:color w:val="auto"/>
              </w:rPr>
            </w:pPr>
          </w:p>
        </w:tc>
        <w:tc>
          <w:tcPr>
            <w:tcW w:w="980" w:type="dxa"/>
            <w:vAlign w:val="bottom"/>
            <w:tcBorders>
              <w:bottom w:val="single" w:sz="8" w:color="808080"/>
            </w:tcBorders>
            <w:gridSpan w:val="3"/>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680" w:type="dxa"/>
            <w:vAlign w:val="bottom"/>
            <w:gridSpan w:val="10"/>
          </w:tcPr>
          <w:p>
            <w:pPr>
              <w:jc w:val="center"/>
              <w:ind w:left="263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consolidated statements.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60" w:type="dxa"/>
            <w:vAlign w:val="bottom"/>
            <w:gridSpan w:val="4"/>
          </w:tcPr>
          <w:p>
            <w:pPr>
              <w:jc w:val="center"/>
              <w:ind w:left="3872"/>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-566420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-566420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-566420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-566420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-566420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-566420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-566420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93" w:lineRule="exact"/>
        <w:rPr>
          <w:sz w:val="20"/>
          <w:szCs w:val="20"/>
          <w:color w:val="auto"/>
        </w:rPr>
      </w:pPr>
    </w:p>
    <w:p>
      <w:pPr>
        <w:ind w:left="920" w:right="3800" w:hanging="912"/>
        <w:spacing w:after="0" w:line="438" w:lineRule="auto"/>
        <w:tabs>
          <w:tab w:leader="none" w:pos="4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BUSINESS AND SUMMARY OF SIGNIFICANT ACCOUNTING POLICIES </w:t>
      </w:r>
      <w:r>
        <w:rPr>
          <w:rFonts w:ascii="Times New Roman" w:cs="Times New Roman" w:eastAsia="Times New Roman" w:hAnsi="Times New Roman"/>
          <w:sz w:val="18"/>
          <w:szCs w:val="18"/>
          <w:u w:val="single" w:color="auto"/>
          <w:color w:val="auto"/>
        </w:rPr>
        <w:t>Description of Business</w:t>
      </w:r>
    </w:p>
    <w:p>
      <w:pPr>
        <w:spacing w:after="0" w:line="1" w:lineRule="exact"/>
        <w:rPr>
          <w:sz w:val="20"/>
          <w:szCs w:val="20"/>
          <w:color w:val="auto"/>
        </w:rPr>
      </w:pPr>
    </w:p>
    <w:p>
      <w:pPr>
        <w:ind w:left="1140" w:right="120" w:hanging="204"/>
        <w:spacing w:after="0" w:line="296" w:lineRule="auto"/>
        <w:rPr>
          <w:sz w:val="20"/>
          <w:szCs w:val="20"/>
          <w:color w:val="auto"/>
        </w:rPr>
      </w:pPr>
      <w:r>
        <w:rPr>
          <w:rFonts w:ascii="Times New Roman" w:cs="Times New Roman" w:eastAsia="Times New Roman" w:hAnsi="Times New Roman"/>
          <w:sz w:val="16"/>
          <w:szCs w:val="16"/>
          <w:color w:val="auto"/>
        </w:rPr>
        <w:t>Domino’s Pizza, Inc. (DPI), a Delaware corporation, conducts its operations and derives substantially all of its operating income and cash flows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Company-owned and franchised Domino’s Pizza stores through Company-owned supply chain centers; and (iii) receipt of royalties from domestic and international Domino’s Pizza franchisees.</w:t>
      </w:r>
    </w:p>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171" w:lineRule="exact"/>
        <w:rPr>
          <w:sz w:val="20"/>
          <w:szCs w:val="20"/>
          <w:color w:val="auto"/>
        </w:rPr>
      </w:pPr>
    </w:p>
    <w:p>
      <w:pPr>
        <w:ind w:left="1140" w:right="240" w:hanging="204"/>
        <w:spacing w:after="0" w:line="27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DPI and its subsidiaries. All significant intercompany accounts and transactions have been eliminated.</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Fiscal Year</w:t>
      </w:r>
    </w:p>
    <w:p>
      <w:pPr>
        <w:spacing w:after="0" w:line="171" w:lineRule="exact"/>
        <w:rPr>
          <w:sz w:val="20"/>
          <w:szCs w:val="20"/>
          <w:color w:val="auto"/>
        </w:rPr>
      </w:pPr>
    </w:p>
    <w:p>
      <w:pPr>
        <w:jc w:val="both"/>
        <w:ind w:left="1140" w:hanging="204"/>
        <w:spacing w:after="0" w:line="262" w:lineRule="auto"/>
        <w:rPr>
          <w:sz w:val="20"/>
          <w:szCs w:val="20"/>
          <w:color w:val="auto"/>
        </w:rPr>
      </w:pPr>
      <w:r>
        <w:rPr>
          <w:rFonts w:ascii="Times New Roman" w:cs="Times New Roman" w:eastAsia="Times New Roman" w:hAnsi="Times New Roman"/>
          <w:sz w:val="18"/>
          <w:szCs w:val="18"/>
          <w:color w:val="auto"/>
        </w:rPr>
        <w:t>The Company’s fiscal year ends on the Sunday closest to December 31. The 2007 fiscal year ended December 30, 2007, the 2008 fiscal year ended December 28, 2008, and the 2009 fiscal year ended January 3, 2010. The 2007 and 2008 fiscal years each consisted of fifty-two weeks, while the 2009 fiscal year consisted of fifty-three weeks.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71" w:lineRule="exact"/>
        <w:rPr>
          <w:sz w:val="20"/>
          <w:szCs w:val="20"/>
          <w:color w:val="auto"/>
        </w:rPr>
      </w:pPr>
    </w:p>
    <w:p>
      <w:pPr>
        <w:ind w:left="1140" w:right="40" w:hanging="204"/>
        <w:spacing w:after="0" w:line="275"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171" w:lineRule="exact"/>
        <w:rPr>
          <w:sz w:val="20"/>
          <w:szCs w:val="20"/>
          <w:color w:val="auto"/>
        </w:rPr>
      </w:pPr>
    </w:p>
    <w:p>
      <w:pPr>
        <w:ind w:left="1140" w:right="180" w:hanging="204"/>
        <w:spacing w:after="0" w:line="339" w:lineRule="auto"/>
        <w:rPr>
          <w:sz w:val="20"/>
          <w:szCs w:val="20"/>
          <w:color w:val="auto"/>
        </w:rPr>
      </w:pPr>
      <w:r>
        <w:rPr>
          <w:rFonts w:ascii="Times New Roman" w:cs="Times New Roman" w:eastAsia="Times New Roman" w:hAnsi="Times New Roman"/>
          <w:sz w:val="16"/>
          <w:szCs w:val="16"/>
          <w:color w:val="auto"/>
        </w:rPr>
        <w:t>Restricted cash includes $37.0 million of cash held for future interest payments, $34.9 million of cash held as collateral for outstanding letters of credit, $10.0 million cash held for capitalization of entities, $8.8 million cash held in interest reserves and $0.4 million of other restricted cash.</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market.</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Inventories at December 28, 2008 and January 3, 2010 are comprised of the following (in thousands):</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2008</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$19,829</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and supplies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$24,342</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7274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71" w:lineRule="exact"/>
        <w:rPr>
          <w:sz w:val="20"/>
          <w:szCs w:val="20"/>
          <w:color w:val="auto"/>
        </w:rPr>
      </w:pPr>
    </w:p>
    <w:p>
      <w:pPr>
        <w:jc w:val="both"/>
        <w:ind w:left="1140" w:right="80" w:hanging="204"/>
        <w:spacing w:after="0" w:line="258" w:lineRule="auto"/>
        <w:rPr>
          <w:sz w:val="20"/>
          <w:szCs w:val="20"/>
          <w:color w:val="auto"/>
        </w:rPr>
      </w:pPr>
      <w:r>
        <w:rPr>
          <w:rFonts w:ascii="Times New Roman" w:cs="Times New Roman" w:eastAsia="Times New Roman" w:hAnsi="Times New Roman"/>
          <w:sz w:val="18"/>
          <w:szCs w:val="18"/>
          <w:color w:val="auto"/>
        </w:rPr>
        <w:t>During the normal course of business, the Company may provide financing to franchisees in the form of notes. Notes receivable generally require monthly payments of principal and interest, or monthly payments of interest only, generally ranging from 6% to 10%, with balloon payments of the remaining principal due one to ten years from the original issuance date. Such notes are generally secured by the related assets or business. The carrying amounts of these notes approximate fair value.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240" w:top="455" w:right="3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Current and long-term other assets primarily include prepaid expenses such as insurance, rent and taxes, deposits, as well as covenants not-to-</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compete and other intangible assets primarily arising from franchise acquisitions. Amortization expense related to intangible assets for financial</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reporting purposes is provided using the straight-line method over the useful lives for covenants not-to-compete and other intangible assets and</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was approximately $392,000, $376,000 and $335,000 in 2007, 2008, and 2009, respectively. As of January 3, 2010, scheduled amortization of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these assets for the next five fiscal years is approximately $333,000 in each of 2010, 2011, 2012 and 2013, respectively and approximately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$51,000 in 2014. The carrying value of intangible assets as of December 28, 2008 and January 3, 2010 was approximately $1.7 million and $1.4</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million, respectively.</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Property, Plant and Equipment</w:t>
      </w:r>
    </w:p>
    <w:p>
      <w:pPr>
        <w:spacing w:after="0" w:line="171" w:lineRule="exact"/>
        <w:rPr>
          <w:sz w:val="20"/>
          <w:szCs w:val="20"/>
          <w:color w:val="auto"/>
        </w:rPr>
      </w:pPr>
    </w:p>
    <w:p>
      <w:pPr>
        <w:ind w:left="1140" w:right="80" w:hanging="204"/>
        <w:spacing w:after="0" w:line="310" w:lineRule="auto"/>
        <w:rPr>
          <w:sz w:val="20"/>
          <w:szCs w:val="20"/>
          <w:color w:val="auto"/>
        </w:rPr>
      </w:pPr>
      <w:r>
        <w:rPr>
          <w:rFonts w:ascii="Times New Roman" w:cs="Times New Roman" w:eastAsia="Times New Roman" w:hAnsi="Times New Roman"/>
          <w:sz w:val="16"/>
          <w:szCs w:val="16"/>
          <w:color w:val="auto"/>
        </w:rPr>
        <w:t>Additions to property, plant and equipment are recorded at cost. Repair and maintenance costs are expensed as incurred. Depreciation and amortization expense for financial reporting purposes is provided using the straight-line method over the estimated useful lives of the related assets. Estimated useful lives, other than the estimated useful life of the capital lease asset as described below, are generally as follows (in years):</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15</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15</w:t>
            </w:r>
          </w:p>
        </w:tc>
      </w:tr>
    </w:tbl>
    <w:p>
      <w:pPr>
        <w:spacing w:after="0" w:line="148" w:lineRule="exact"/>
        <w:rPr>
          <w:sz w:val="20"/>
          <w:szCs w:val="20"/>
          <w:color w:val="auto"/>
        </w:rPr>
      </w:pPr>
    </w:p>
    <w:p>
      <w:pPr>
        <w:ind w:left="1140" w:hanging="204"/>
        <w:spacing w:after="0" w:line="262" w:lineRule="auto"/>
        <w:rPr>
          <w:sz w:val="20"/>
          <w:szCs w:val="20"/>
          <w:color w:val="auto"/>
        </w:rPr>
      </w:pPr>
      <w:r>
        <w:rPr>
          <w:rFonts w:ascii="Times New Roman" w:cs="Times New Roman" w:eastAsia="Times New Roman" w:hAnsi="Times New Roman"/>
          <w:sz w:val="18"/>
          <w:szCs w:val="18"/>
          <w:color w:val="auto"/>
        </w:rPr>
        <w:t>Included in land and buildings as of December 28, 2008 and January 3, 2010 is a capital lease asset of approximately $4.0 million and $3.6 million, which is net of $2.2 million and $2.6 million of accumulated amortization, respectively, related to the lease of a supply chain center building. This capital lease asset is being amortized using the straight-line method over the fifteen-year lease term.</w:t>
      </w:r>
    </w:p>
    <w:p>
      <w:pPr>
        <w:spacing w:after="0" w:line="132" w:lineRule="exact"/>
        <w:rPr>
          <w:sz w:val="20"/>
          <w:szCs w:val="20"/>
          <w:color w:val="auto"/>
        </w:rPr>
      </w:pPr>
    </w:p>
    <w:p>
      <w:pPr>
        <w:ind w:left="1140" w:right="60" w:hanging="204"/>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approximately $24.2 million, $22.7 million and $21.8 million in 2007, 2008 and 2009, respectively.</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Impairments of Long-Lived Assets</w:t>
      </w:r>
    </w:p>
    <w:p>
      <w:pPr>
        <w:spacing w:after="0" w:line="171" w:lineRule="exact"/>
        <w:rPr>
          <w:sz w:val="20"/>
          <w:szCs w:val="20"/>
          <w:color w:val="auto"/>
        </w:rPr>
      </w:pPr>
    </w:p>
    <w:p>
      <w:pPr>
        <w:ind w:left="1140" w:right="20" w:hanging="204"/>
        <w:spacing w:after="0" w:line="255" w:lineRule="auto"/>
        <w:rPr>
          <w:sz w:val="20"/>
          <w:szCs w:val="20"/>
          <w:color w:val="auto"/>
        </w:rPr>
      </w:pPr>
      <w:r>
        <w:rPr>
          <w:rFonts w:ascii="Times New Roman" w:cs="Times New Roman" w:eastAsia="Times New Roman" w:hAnsi="Times New Roman"/>
          <w:sz w:val="18"/>
          <w:szCs w:val="18"/>
          <w:color w:val="auto"/>
        </w:rPr>
        <w:t>The Company evaluates the potential impairment of long-lived assets based on various analyses including the projection of undiscounted cash flows, whenever events or changes in circumstances indicate that the carrying amount of the assets may not be recoverable.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or the estimated fair value of the asset, an impairment loss is recognized and the asset is written down to its estimated fair value. The Company did not record an impairment loss on long-lived assets in 2007, 2008 or 2009.</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Investments in Marketable Securities</w:t>
      </w:r>
    </w:p>
    <w:p>
      <w:pPr>
        <w:spacing w:after="0" w:line="171" w:lineRule="exact"/>
        <w:rPr>
          <w:sz w:val="20"/>
          <w:szCs w:val="20"/>
          <w:color w:val="auto"/>
        </w:rPr>
      </w:pPr>
    </w:p>
    <w:p>
      <w:pPr>
        <w:jc w:val="both"/>
        <w:ind w:left="1140" w:right="40" w:hanging="204"/>
        <w:spacing w:after="0" w:line="258" w:lineRule="auto"/>
        <w:rPr>
          <w:sz w:val="20"/>
          <w:szCs w:val="20"/>
          <w:color w:val="auto"/>
        </w:rPr>
      </w:pPr>
      <w:r>
        <w:rPr>
          <w:rFonts w:ascii="Times New Roman" w:cs="Times New Roman" w:eastAsia="Times New Roman" w:hAnsi="Times New Roman"/>
          <w:sz w:val="18"/>
          <w:szCs w:val="18"/>
          <w:color w:val="auto"/>
        </w:rPr>
        <w:t>Investments in marketable securities consist of investments in various mutual funds made by eligible individuals as part of the Company’s deferred compensation plan (Note 5).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Deferred Financing Costs</w:t>
      </w:r>
    </w:p>
    <w:p>
      <w:pPr>
        <w:spacing w:after="0" w:line="171" w:lineRule="exact"/>
        <w:rPr>
          <w:sz w:val="20"/>
          <w:szCs w:val="20"/>
          <w:color w:val="auto"/>
        </w:rPr>
      </w:pPr>
    </w:p>
    <w:p>
      <w:pPr>
        <w:jc w:val="both"/>
        <w:ind w:left="1140" w:right="80" w:hanging="204"/>
        <w:spacing w:after="0" w:line="262" w:lineRule="auto"/>
        <w:rPr>
          <w:sz w:val="20"/>
          <w:szCs w:val="20"/>
          <w:color w:val="auto"/>
        </w:rPr>
      </w:pPr>
      <w:r>
        <w:rPr>
          <w:rFonts w:ascii="Times New Roman" w:cs="Times New Roman" w:eastAsia="Times New Roman" w:hAnsi="Times New Roman"/>
          <w:sz w:val="18"/>
          <w:szCs w:val="18"/>
          <w:color w:val="auto"/>
        </w:rPr>
        <w:t>Deferred financing costs primarily include debt issuance costs incurred by the Company as part of the 2007 Recapitalization (Note 2). Amortization is provided on a straight-line basis over the expected terms of the respective debt instruments to which the costs relate and is included in interest expense.</w:t>
      </w:r>
    </w:p>
    <w:p>
      <w:pPr>
        <w:spacing w:after="0" w:line="132" w:lineRule="exact"/>
        <w:rPr>
          <w:sz w:val="20"/>
          <w:szCs w:val="20"/>
          <w:color w:val="auto"/>
        </w:rPr>
      </w:pPr>
    </w:p>
    <w:p>
      <w:pPr>
        <w:ind w:left="1140" w:right="40" w:hanging="204"/>
        <w:spacing w:after="0" w:line="258" w:lineRule="auto"/>
        <w:rPr>
          <w:sz w:val="20"/>
          <w:szCs w:val="20"/>
          <w:color w:val="auto"/>
        </w:rPr>
      </w:pPr>
      <w:r>
        <w:rPr>
          <w:rFonts w:ascii="Times New Roman" w:cs="Times New Roman" w:eastAsia="Times New Roman" w:hAnsi="Times New Roman"/>
          <w:sz w:val="18"/>
          <w:szCs w:val="18"/>
          <w:color w:val="auto"/>
        </w:rPr>
        <w:t>In connection with the 2007 Recapitalization, the Company wrote-off financing costs of approximately $30.3 million. In connection with the Company’s repurchases and retirement of its Class A-2 Notes (Note 2), the Company wrote-off financing costs of approximately $2.3 million in 2009. Deferred financing cost expense, including the aforementioned amounts, was approximately $36.0 million, $9.0 million and $7.8 million in 2007, 2008 and 2009, respectively.</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71" w:lineRule="exact"/>
        <w:rPr>
          <w:sz w:val="20"/>
          <w:szCs w:val="20"/>
          <w:color w:val="auto"/>
        </w:rPr>
      </w:pPr>
    </w:p>
    <w:p>
      <w:pPr>
        <w:ind w:left="1140" w:right="620" w:hanging="204"/>
        <w:spacing w:after="0" w:line="339" w:lineRule="auto"/>
        <w:rPr>
          <w:sz w:val="20"/>
          <w:szCs w:val="20"/>
          <w:color w:val="auto"/>
        </w:rPr>
      </w:pPr>
      <w:r>
        <w:rPr>
          <w:rFonts w:ascii="Times New Roman" w:cs="Times New Roman" w:eastAsia="Times New Roman" w:hAnsi="Times New Roman"/>
          <w:sz w:val="16"/>
          <w:szCs w:val="16"/>
          <w:color w:val="auto"/>
        </w:rPr>
        <w:t>The Company’s goodwill amounts primarily relate to franchise store acquisitions and are not amortized. The Company performs its required impairment tests in the fourth quarter of each fiscal year and did not recognize any goodwill impairment charges in 2007, 2008 or 2009.</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Capitalized Software</w:t>
      </w:r>
    </w:p>
    <w:p>
      <w:pPr>
        <w:spacing w:after="0" w:line="171" w:lineRule="exact"/>
        <w:rPr>
          <w:sz w:val="20"/>
          <w:szCs w:val="20"/>
          <w:color w:val="auto"/>
        </w:rPr>
      </w:pPr>
    </w:p>
    <w:p>
      <w:pPr>
        <w:ind w:left="1140" w:right="40" w:hanging="204"/>
        <w:spacing w:after="0" w:line="255" w:lineRule="auto"/>
        <w:rPr>
          <w:sz w:val="20"/>
          <w:szCs w:val="20"/>
          <w:color w:val="auto"/>
        </w:rPr>
      </w:pPr>
      <w:r>
        <w:rPr>
          <w:rFonts w:ascii="Times New Roman" w:cs="Times New Roman" w:eastAsia="Times New Roman" w:hAnsi="Times New Roman"/>
          <w:sz w:val="18"/>
          <w:szCs w:val="18"/>
          <w:color w:val="auto"/>
        </w:rPr>
        <w:t>Capitalized software is recorded at cost and includes purchased, internally-developed and externally-developed software used in the Company’s operations. Amortization expense for financial reporting purposes is provided using the straight-line method over the estimated useful lives of the software, which range from two to seven years. Capitalized software amortization expense was approximately $6.6 million, $5.3 million and $1.9 million in 2007, 2008 and 2009, respectively. The Company received $3.5 million, $6.1 million and $2.7 million from franchisees from the sale of internally developed point-of-sale software during 2007, 2008 and 2009, respectively. The amounts received from the sale of internally developed software reduce the capitalized software asset amount in the accompanying consolidated balance sheets.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Insurance Reserves</w:t>
      </w:r>
    </w:p>
    <w:p>
      <w:pPr>
        <w:spacing w:after="0" w:line="171" w:lineRule="exact"/>
        <w:rPr>
          <w:sz w:val="20"/>
          <w:szCs w:val="20"/>
          <w:color w:val="auto"/>
        </w:rPr>
      </w:pPr>
    </w:p>
    <w:p>
      <w:pPr>
        <w:ind w:left="1140" w:right="40" w:hanging="204"/>
        <w:spacing w:after="0" w:line="254" w:lineRule="auto"/>
        <w:rPr>
          <w:sz w:val="20"/>
          <w:szCs w:val="20"/>
          <w:color w:val="auto"/>
        </w:rPr>
      </w:pPr>
      <w:r>
        <w:rPr>
          <w:rFonts w:ascii="Times New Roman" w:cs="Times New Roman" w:eastAsia="Times New Roman" w:hAnsi="Times New Roman"/>
          <w:sz w:val="18"/>
          <w:szCs w:val="18"/>
          <w:color w:val="auto"/>
        </w:rPr>
        <w:t>The Company has retention programs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general liability exposures. The Company is also generally responsible for between $500,000 and $3.0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141"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Insurance reserves relating to our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receives an annual estimate of outstanding insurance exposures from its independent actuary and differences between these estimated actuarial exposures and the Company’s recorded amounts are adjusted as appropriate. In management’s opinion, the insurance reserves at December 28, 2008 and January 3, 2010 are sufficient to cover related losses.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Other Accrued Liabilities</w:t>
      </w:r>
    </w:p>
    <w:p>
      <w:pPr>
        <w:spacing w:after="0" w:line="171" w:lineRule="exact"/>
        <w:rPr>
          <w:sz w:val="20"/>
          <w:szCs w:val="20"/>
          <w:color w:val="auto"/>
        </w:rPr>
      </w:pPr>
    </w:p>
    <w:p>
      <w:pPr>
        <w:ind w:left="1140" w:right="60" w:hanging="204"/>
        <w:spacing w:after="0" w:line="275" w:lineRule="auto"/>
        <w:rPr>
          <w:sz w:val="20"/>
          <w:szCs w:val="20"/>
          <w:color w:val="auto"/>
        </w:rPr>
      </w:pPr>
      <w:r>
        <w:rPr>
          <w:rFonts w:ascii="Times New Roman" w:cs="Times New Roman" w:eastAsia="Times New Roman" w:hAnsi="Times New Roman"/>
          <w:sz w:val="18"/>
          <w:szCs w:val="18"/>
          <w:color w:val="auto"/>
        </w:rPr>
        <w:t>Current and long-term other accrued liabilities primarily include accruals for sales, property and other taxes, legal matters, store operating expenses, deferred rent expense and deferred compensation liabilities.</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Foreign Currency Translation</w:t>
      </w:r>
    </w:p>
    <w:p>
      <w:pPr>
        <w:spacing w:after="0" w:line="171" w:lineRule="exact"/>
        <w:rPr>
          <w:sz w:val="20"/>
          <w:szCs w:val="20"/>
          <w:color w:val="auto"/>
        </w:rPr>
      </w:pPr>
    </w:p>
    <w:p>
      <w:pPr>
        <w:ind w:left="1140" w:right="20" w:hanging="204"/>
        <w:spacing w:after="0" w:line="258" w:lineRule="auto"/>
        <w:rPr>
          <w:sz w:val="20"/>
          <w:szCs w:val="20"/>
          <w:color w:val="auto"/>
        </w:rPr>
      </w:pPr>
      <w:r>
        <w:rPr>
          <w:rFonts w:ascii="Times New Roman" w:cs="Times New Roman" w:eastAsia="Times New Roman" w:hAnsi="Times New Roman"/>
          <w:sz w:val="18"/>
          <w:szCs w:val="18"/>
          <w:color w:val="auto"/>
        </w:rPr>
        <w:t>The Company’s foreign entities use their local currency as the functional currency. Where the functional currency is the local currency,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71" w:lineRule="exact"/>
        <w:rPr>
          <w:sz w:val="20"/>
          <w:szCs w:val="20"/>
          <w:color w:val="auto"/>
        </w:rPr>
      </w:pPr>
    </w:p>
    <w:p>
      <w:pPr>
        <w:ind w:left="1140" w:right="420" w:hanging="204"/>
        <w:spacing w:after="0" w:line="275" w:lineRule="auto"/>
        <w:rPr>
          <w:sz w:val="20"/>
          <w:szCs w:val="20"/>
          <w:color w:val="auto"/>
        </w:rPr>
      </w:pPr>
      <w:r>
        <w:rPr>
          <w:rFonts w:ascii="Times New Roman" w:cs="Times New Roman" w:eastAsia="Times New Roman" w:hAnsi="Times New Roman"/>
          <w:sz w:val="18"/>
          <w:szCs w:val="18"/>
          <w:color w:val="auto"/>
        </w:rPr>
        <w:t>Domestic Company-owned stores revenues are comprised of retail sales of food through Company-owned Domino’s Pizza stores located in the contiguous United States and are recognized when the items are delivered to or carried out by customers.</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Domestic franchise revenues are primarily comprised of royalties from Domino’s Pizza franchisees with operations in the contiguous United States.</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Royalty revenues are recognized when the items are delivered to or carried out by franchise customers.</w:t>
      </w:r>
    </w:p>
    <w:p>
      <w:pPr>
        <w:spacing w:after="0" w:line="159" w:lineRule="exact"/>
        <w:rPr>
          <w:sz w:val="20"/>
          <w:szCs w:val="20"/>
          <w:color w:val="auto"/>
        </w:rPr>
      </w:pPr>
    </w:p>
    <w:p>
      <w:pPr>
        <w:jc w:val="both"/>
        <w:ind w:left="1140" w:right="40" w:hanging="204"/>
        <w:spacing w:after="0" w:line="262" w:lineRule="auto"/>
        <w:rPr>
          <w:sz w:val="20"/>
          <w:szCs w:val="20"/>
          <w:color w:val="auto"/>
        </w:rPr>
      </w:pPr>
      <w:r>
        <w:rPr>
          <w:rFonts w:ascii="Times New Roman" w:cs="Times New Roman" w:eastAsia="Times New Roman" w:hAnsi="Times New Roman"/>
          <w:sz w:val="18"/>
          <w:szCs w:val="18"/>
          <w:color w:val="auto"/>
        </w:rPr>
        <w:t>Domestic supply chain revenues are primarily comprised of sales of food, equipment and supplies to franchised Domino’s Pizza stores located in the contiguous United States. Revenues from the sales of food are recognized upon delivery of the food to franchisees, while revenues from the sales of equipment and supplies are generally recognized upon shipment of the related products to franchisees.</w:t>
      </w:r>
    </w:p>
    <w:p>
      <w:pPr>
        <w:spacing w:after="0" w:line="132" w:lineRule="exact"/>
        <w:rPr>
          <w:sz w:val="20"/>
          <w:szCs w:val="20"/>
          <w:color w:val="auto"/>
        </w:rPr>
      </w:pPr>
    </w:p>
    <w:p>
      <w:pPr>
        <w:ind w:left="1140" w:right="360" w:hanging="204"/>
        <w:spacing w:after="0" w:line="339" w:lineRule="auto"/>
        <w:rPr>
          <w:sz w:val="20"/>
          <w:szCs w:val="20"/>
          <w:color w:val="auto"/>
        </w:rPr>
      </w:pPr>
      <w:r>
        <w:rPr>
          <w:rFonts w:ascii="Times New Roman" w:cs="Times New Roman" w:eastAsia="Times New Roman" w:hAnsi="Times New Roman"/>
          <w:sz w:val="16"/>
          <w:szCs w:val="16"/>
          <w:color w:val="auto"/>
        </w:rPr>
        <w:t>International revenues are primarily comprised of sales of food to, and royalties from Domino’s Pizza franchisees outside the contiguous United States. These revenues are recognized consistently with the policies applied for revenues generated in the contiguous United States.</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Domestic Supply Chain Profit-Sharing Arrangements</w:t>
      </w:r>
    </w:p>
    <w:p>
      <w:pPr>
        <w:spacing w:after="0" w:line="171" w:lineRule="exact"/>
        <w:rPr>
          <w:sz w:val="20"/>
          <w:szCs w:val="20"/>
          <w:color w:val="auto"/>
        </w:rPr>
      </w:pPr>
    </w:p>
    <w:p>
      <w:pPr>
        <w:ind w:left="1140" w:hanging="204"/>
        <w:spacing w:after="0" w:line="256" w:lineRule="auto"/>
        <w:rPr>
          <w:sz w:val="20"/>
          <w:szCs w:val="20"/>
          <w:color w:val="auto"/>
        </w:rPr>
      </w:pPr>
      <w:r>
        <w:rPr>
          <w:rFonts w:ascii="Times New Roman" w:cs="Times New Roman" w:eastAsia="Times New Roman" w:hAnsi="Times New Roman"/>
          <w:sz w:val="18"/>
          <w:szCs w:val="18"/>
          <w:color w:val="auto"/>
        </w:rPr>
        <w:t>The Company enters into profit-sharing arrangements with Domestic Stores (Note 10) that purchase all of their food from Company-owned supply chain centers. These profit-sharing arrangements generally provide participating stores with 50% of their regional supply chain center’s pre-tax profits based upon each store’s purchases from the supply chain center. Profit-sharing obligations are recorded as a revenue reduction in Domestic Supply Chain (Note 10) in the same period as the related revenues and costs are recorded, and were $43.7 million, $44.4 million and $55.4 million in 2007, 2008 and 2009, respectively.</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Advertising</w:t>
      </w:r>
    </w:p>
    <w:p>
      <w:pPr>
        <w:spacing w:after="0" w:line="171" w:lineRule="exact"/>
        <w:rPr>
          <w:sz w:val="20"/>
          <w:szCs w:val="20"/>
          <w:color w:val="auto"/>
        </w:rPr>
      </w:pPr>
    </w:p>
    <w:p>
      <w:pPr>
        <w:ind w:left="1140" w:right="480" w:hanging="204"/>
        <w:spacing w:after="0" w:line="275"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which relates primarily to Company-owned stores, was approximately $38.9 million, $35.3 million and $33.0 million during 2007, 2008 and 2009, respectively.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Domestic Stores are required to contribute a certain percentage of sales to the Domino’s National Advertising Fund Inc. (DNAF), a not-for-profit</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subsidiary that administers the Domino’s Pizza system’s national and market level advertising activities. Included in advertising expense were</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national advertising contributions from Company-owned stores to DNAF of approximately $19.4 million, $15.2 million and $16.4 million in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2007, 2008 and 2009, respectively. DNAF also received national advertising contributions from franchisees of approximately $135.2 million,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$105.6 million and $131.2 million during 2007, 2008 and 2009, respectively. Franchisee contributions to DNAF and offsetting disbursements are</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presented net in the accompanying statements of income.</w:t>
      </w:r>
    </w:p>
    <w:p>
      <w:pPr>
        <w:spacing w:after="0" w:line="159" w:lineRule="exact"/>
        <w:rPr>
          <w:sz w:val="20"/>
          <w:szCs w:val="20"/>
          <w:color w:val="auto"/>
        </w:rPr>
      </w:pPr>
    </w:p>
    <w:p>
      <w:pPr>
        <w:ind w:left="1140" w:right="140" w:hanging="204"/>
        <w:spacing w:after="0" w:line="275" w:lineRule="auto"/>
        <w:rPr>
          <w:sz w:val="20"/>
          <w:szCs w:val="20"/>
          <w:color w:val="auto"/>
        </w:rPr>
      </w:pPr>
      <w:r>
        <w:rPr>
          <w:rFonts w:ascii="Times New Roman" w:cs="Times New Roman" w:eastAsia="Times New Roman" w:hAnsi="Times New Roman"/>
          <w:sz w:val="18"/>
          <w:szCs w:val="18"/>
          <w:color w:val="auto"/>
        </w:rPr>
        <w:t>DNAF assets, consisting primarily of cash received from franchisees and accounts receivable from franchisees, can only be used for activities that promote the Domino’s Pizza brand. Accordingly, all assets held by the DNAF are considered restricted.</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Rent</w:t>
      </w:r>
    </w:p>
    <w:p>
      <w:pPr>
        <w:spacing w:after="0" w:line="171" w:lineRule="exact"/>
        <w:rPr>
          <w:sz w:val="20"/>
          <w:szCs w:val="20"/>
          <w:color w:val="auto"/>
        </w:rPr>
      </w:pPr>
    </w:p>
    <w:p>
      <w:pPr>
        <w:ind w:left="1140" w:hanging="204"/>
        <w:spacing w:after="0" w:line="262" w:lineRule="auto"/>
        <w:rPr>
          <w:sz w:val="20"/>
          <w:szCs w:val="20"/>
          <w:color w:val="auto"/>
        </w:rPr>
      </w:pPr>
      <w:r>
        <w:rPr>
          <w:rFonts w:ascii="Times New Roman" w:cs="Times New Roman" w:eastAsia="Times New Roman" w:hAnsi="Times New Roman"/>
          <w:sz w:val="18"/>
          <w:szCs w:val="18"/>
          <w:color w:val="auto"/>
        </w:rPr>
        <w:t>The Company leases certain equipment, vehicles, retail store and supply chain center locations and its corporate headquarters under operating leases with expiration dates through 2019. Rent expenses totaled approximately $42.4 million, $41.5 million and $42.0 million during 2007, 2008 and 2009, respectively.</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Company recognizes all derivatives as either assets or liabilities in the balance sheet and measures those instruments at fair value.</w:t>
      </w:r>
    </w:p>
    <w:p>
      <w:pPr>
        <w:spacing w:after="0" w:line="171" w:lineRule="exact"/>
        <w:rPr>
          <w:sz w:val="20"/>
          <w:szCs w:val="20"/>
          <w:color w:val="auto"/>
        </w:rPr>
      </w:pPr>
    </w:p>
    <w:p>
      <w:pPr>
        <w:ind w:left="1140" w:right="80" w:hanging="204"/>
        <w:spacing w:after="0" w:line="262" w:lineRule="auto"/>
        <w:rPr>
          <w:sz w:val="20"/>
          <w:szCs w:val="20"/>
          <w:color w:val="auto"/>
        </w:rPr>
      </w:pPr>
      <w:r>
        <w:rPr>
          <w:rFonts w:ascii="Times New Roman" w:cs="Times New Roman" w:eastAsia="Times New Roman" w:hAnsi="Times New Roman"/>
          <w:sz w:val="18"/>
          <w:szCs w:val="18"/>
          <w:color w:val="auto"/>
        </w:rPr>
        <w:t>The Company had cash flow and fair value designated interest rate derivative agreements outstanding during 2007. These agreements were entered into in an effort to manage the impact of interest rate changes on income. These agreements were settled during 2007 as part of the 2007 Recapitalization. Gains and losses upon settlement of these derivatives were recorded in interest expense.</w:t>
      </w:r>
    </w:p>
    <w:p>
      <w:pPr>
        <w:spacing w:after="0" w:line="132" w:lineRule="exact"/>
        <w:rPr>
          <w:sz w:val="20"/>
          <w:szCs w:val="20"/>
          <w:color w:val="auto"/>
        </w:rPr>
      </w:pPr>
    </w:p>
    <w:p>
      <w:pPr>
        <w:ind w:left="1140" w:right="20" w:hanging="204"/>
        <w:spacing w:after="0" w:line="254" w:lineRule="auto"/>
        <w:rPr>
          <w:sz w:val="20"/>
          <w:szCs w:val="20"/>
          <w:color w:val="auto"/>
        </w:rPr>
      </w:pPr>
      <w:r>
        <w:rPr>
          <w:rFonts w:ascii="Times New Roman" w:cs="Times New Roman" w:eastAsia="Times New Roman" w:hAnsi="Times New Roman"/>
          <w:sz w:val="18"/>
          <w:szCs w:val="18"/>
          <w:color w:val="auto"/>
        </w:rPr>
        <w:t>In connection with the 2007 Recapitalization, the Company entered into a five-year forward-starting interest rate swap agreement with a notional amount of $1.25 billion. This interest rate swap was entered into to hedge the variability of future interest rates in contemplation of the recapitalization-related debt issuances. The Company subsequently settled the swap agreement with a cash payment of $11.5 million, in accordance with its terms, concurrent with the issuance of debt as part of the 2007 Recapitalization. In connection with this settlement, the accumulated other comprehensive loss amount was adjusted for the after-tax net settlement amount of $7.1 million which is being amortized into interest expense over the remaining term of the hedged item. The Company had no outstanding derivative instruments as of December 28, 2008 and January 3, 2010.</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Stock Options and Other Equity-Based Compensation Arrangements</w:t>
      </w:r>
    </w:p>
    <w:p>
      <w:pPr>
        <w:spacing w:after="0" w:line="171" w:lineRule="exact"/>
        <w:rPr>
          <w:sz w:val="20"/>
          <w:szCs w:val="20"/>
          <w:color w:val="auto"/>
        </w:rPr>
      </w:pPr>
    </w:p>
    <w:p>
      <w:pPr>
        <w:ind w:left="1140" w:right="320" w:hanging="204"/>
        <w:spacing w:after="0" w:line="275" w:lineRule="auto"/>
        <w:rPr>
          <w:sz w:val="20"/>
          <w:szCs w:val="20"/>
          <w:color w:val="auto"/>
        </w:rPr>
      </w:pPr>
      <w:r>
        <w:rPr>
          <w:rFonts w:ascii="Times New Roman" w:cs="Times New Roman" w:eastAsia="Times New Roman" w:hAnsi="Times New Roman"/>
          <w:sz w:val="18"/>
          <w:szCs w:val="18"/>
          <w:color w:val="auto"/>
        </w:rPr>
        <w:t>The cost of all of the Company’s employee stock options, as well as other equity-based compensation arrangements, is reflected in the financial statements based on the estimated fair value of the awards.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60"/>
          </w:cols>
          <w:pgMar w:left="240" w:top="45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71" w:lineRule="exact"/>
        <w:rPr>
          <w:sz w:val="20"/>
          <w:szCs w:val="20"/>
          <w:color w:val="auto"/>
        </w:rPr>
      </w:pPr>
    </w:p>
    <w:p>
      <w:pPr>
        <w:ind w:left="1140" w:right="20" w:hanging="204"/>
        <w:spacing w:after="0" w:line="256" w:lineRule="auto"/>
        <w:rPr>
          <w:sz w:val="20"/>
          <w:szCs w:val="20"/>
          <w:color w:val="auto"/>
        </w:rPr>
      </w:pPr>
      <w:r>
        <w:rPr>
          <w:rFonts w:ascii="Times New Roman" w:cs="Times New Roman" w:eastAsia="Times New Roman" w:hAnsi="Times New Roman"/>
          <w:sz w:val="18"/>
          <w:szCs w:val="18"/>
          <w:color w:val="auto"/>
        </w:rPr>
        <w:t>The Company discloses two calculations of earnings per share (EPS): basic EPS and diluted EPS.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and unvested restricted stock grants. The denominator in calculating the 2007, 2008 and 2009 common stock diluted EPS does not include 2,819,600, 8,263,719 and 9,186,229 stock options, respectively, as their inclusion would be anti-dilutive.</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share and per share amounts):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2007</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income available to common stockholders - basic and</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62,176,568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57,755,519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57,409,448</w:t>
            </w:r>
          </w:p>
        </w:tc>
        <w:tc>
          <w:tcPr>
            <w:tcW w:w="0" w:type="dxa"/>
            <w:vAlign w:val="bottom"/>
          </w:tcPr>
          <w:p>
            <w:pPr>
              <w:spacing w:after="0"/>
              <w:rPr>
                <w:sz w:val="1"/>
                <w:szCs w:val="1"/>
                <w:color w:val="auto"/>
              </w:rPr>
            </w:pPr>
          </w:p>
        </w:tc>
      </w:tr>
      <w:tr>
        <w:trPr>
          <w:trHeight w:val="32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common shares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63,785,124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58,339,535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57,827,697</w:t>
            </w:r>
          </w:p>
        </w:tc>
        <w:tc>
          <w:tcPr>
            <w:tcW w:w="0" w:type="dxa"/>
            <w:vAlign w:val="bottom"/>
          </w:tcPr>
          <w:p>
            <w:pPr>
              <w:spacing w:after="0"/>
              <w:rPr>
                <w:sz w:val="1"/>
                <w:szCs w:val="1"/>
                <w:color w:val="auto"/>
              </w:rPr>
            </w:pPr>
          </w:p>
        </w:tc>
      </w:tr>
      <w:tr>
        <w:trPr>
          <w:trHeight w:val="32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-848995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-848995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-848995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-848995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-848995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-848995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-848995</wp:posOffset>
            </wp:positionV>
            <wp:extent cx="5702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130"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In June 2008, the Financial Accounting Standards Board (FASB) issued authoritative guidance on participating securities. Under this guidance, unvested share-based payment awards that contain non-forfeitable rights to dividends or dividend equivalents, whether paid or unpaid. are considered participating securities and should be included in the computation of both basic and diluted earnings per share using the two-class method. The Company evaluated the impact of this guidance and determined that the basic and diluted earnings per share amounts as reported are equivalent to the basic and diluted earnings per share amounts calculated under the guidance for all periods presented. Therefore, the Company did not apply the related provisions in calculating its basic and diluted earnings per share.</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171" w:lineRule="exact"/>
        <w:rPr>
          <w:sz w:val="20"/>
          <w:szCs w:val="20"/>
          <w:color w:val="auto"/>
        </w:rPr>
      </w:pPr>
    </w:p>
    <w:p>
      <w:pPr>
        <w:ind w:left="1140" w:right="40" w:hanging="204"/>
        <w:spacing w:after="0" w:line="262"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Level 2: Observable market based inputs or unobservable inputs that are corroborated by market data.</w:t>
      </w:r>
    </w:p>
    <w:p>
      <w:pPr>
        <w:spacing w:after="0" w:line="9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right="620" w:hanging="204"/>
        <w:spacing w:after="0" w:line="275"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 The following table summarizes the carrying amounts and fair values of certain assets at December 28, 2008:</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28, 2008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5"/>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Carrying</w:t>
            </w:r>
          </w:p>
        </w:tc>
        <w:tc>
          <w:tcPr>
            <w:tcW w:w="22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6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76,204</w:t>
            </w:r>
          </w:p>
        </w:tc>
        <w:tc>
          <w:tcPr>
            <w:tcW w:w="6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6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January 3, 2010:</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6"/>
              </w:rPr>
              <w:t>At January 3, 2010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5"/>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Carrying</w:t>
            </w:r>
          </w:p>
        </w:tc>
        <w:tc>
          <w:tcPr>
            <w:tcW w:w="6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$37,078</w:t>
            </w:r>
          </w:p>
        </w:tc>
        <w:tc>
          <w:tcPr>
            <w:tcW w:w="6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51,962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51,962</w:t>
            </w:r>
          </w:p>
        </w:tc>
        <w:tc>
          <w:tcPr>
            <w:tcW w:w="6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6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Supplemental Disclosures of Cash Flow Information</w:t>
      </w:r>
    </w:p>
    <w:p>
      <w:pPr>
        <w:spacing w:after="0" w:line="171" w:lineRule="exact"/>
        <w:rPr>
          <w:sz w:val="20"/>
          <w:szCs w:val="20"/>
          <w:color w:val="auto"/>
        </w:rPr>
      </w:pPr>
    </w:p>
    <w:p>
      <w:pPr>
        <w:ind w:left="1140" w:right="160" w:hanging="204"/>
        <w:spacing w:after="0" w:line="275" w:lineRule="auto"/>
        <w:rPr>
          <w:sz w:val="20"/>
          <w:szCs w:val="20"/>
          <w:color w:val="auto"/>
        </w:rPr>
      </w:pPr>
      <w:r>
        <w:rPr>
          <w:rFonts w:ascii="Times New Roman" w:cs="Times New Roman" w:eastAsia="Times New Roman" w:hAnsi="Times New Roman"/>
          <w:sz w:val="18"/>
          <w:szCs w:val="18"/>
          <w:color w:val="auto"/>
        </w:rPr>
        <w:t>The Company paid interest of approximately $91.6 million, $104.9 million and $99.2 million during 2007, 2008 and 2009, respectively. Cash paid for income taxes was approximately $13.7 million, $30.2 million and $32.8 million in 2007, 2008 and 2009, respectively.</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171" w:lineRule="exact"/>
        <w:rPr>
          <w:sz w:val="20"/>
          <w:szCs w:val="20"/>
          <w:color w:val="auto"/>
        </w:rPr>
      </w:pPr>
    </w:p>
    <w:p>
      <w:pPr>
        <w:ind w:left="1140" w:right="20" w:hanging="204"/>
        <w:spacing w:after="0" w:line="255" w:lineRule="auto"/>
        <w:rPr>
          <w:sz w:val="20"/>
          <w:szCs w:val="20"/>
          <w:color w:val="auto"/>
        </w:rPr>
      </w:pPr>
      <w:r>
        <w:rPr>
          <w:rFonts w:ascii="Times New Roman" w:cs="Times New Roman" w:eastAsia="Times New Roman" w:hAnsi="Times New Roman"/>
          <w:sz w:val="18"/>
          <w:szCs w:val="18"/>
          <w:color w:val="auto"/>
        </w:rPr>
        <w:t>In June 2009, the FASB issued authoritative guidance on the Accounting Standards Codification (ASC or the Codification). The Codification became the single source of authoritative accounting principles recognized by the FASB to be applied by nongovernmental entities in the preparation of financial statements in conformity with generally accepted accounting principles (GAAP). The Codification is effective for interim and annual periods ending after September 15, 2009. The Company adopted the Codification during the quarter and fiscal year ending January 3, 2010 and as such there are no references to the Statement of Financial Accounting Standards (SFAS) or other U.S. GAAP pronouncements throughout this annual report on Form 10-K. There was no impact on the consolidated results of the Company.</w:t>
      </w:r>
    </w:p>
    <w:p>
      <w:pPr>
        <w:spacing w:after="0" w:line="139"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In February 2008, the FASB issued authoritative guidance that allowed a one-year deferral for nonfinancial assets and nonfinancial liabilities that are recognized or disclosed at fair value in the financial statements on a nonrecurring basis. The Company elected this one-year deferral and began applying the provisions to nonfinancial assets and nonfinancial liabilities that are recognized at fair value in the financial statements on a nonrecurring basis in the current fiscal year beginning December 29, 2008. We generally apply fair value techniques on a nonrecurring basis associated with (1) valuing potential impairment loss related to goodwill and indefinite-lived intangible assets, and (2) valuing potential impairment loss related to long-lived assets.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In March 2008, the FASB issued authoritative guidance for derivatives and hedging which requires entities that use derivative instruments to provide qualitative disclosures about their objectives and strategies for using such instruments, as well as any details of credit-risk-related contingent features contained within derivatives. This guidance also requires entities to disclose additional information about the amounts and location of derivatives located within the financial statements, how the guidance has been applied and the impact that hedges have on an entity’s financial position, financial performance, and cash flows. The Company does not currently hold derivative instruments and was not impacted by the adoption of this authoritative guidance.</w:t>
      </w:r>
    </w:p>
    <w:p>
      <w:pPr>
        <w:spacing w:after="0" w:line="139" w:lineRule="exact"/>
        <w:rPr>
          <w:sz w:val="20"/>
          <w:szCs w:val="20"/>
          <w:color w:val="auto"/>
        </w:rPr>
      </w:pPr>
    </w:p>
    <w:p>
      <w:pPr>
        <w:ind w:left="1140" w:right="20" w:hanging="204"/>
        <w:spacing w:after="0" w:line="255" w:lineRule="auto"/>
        <w:rPr>
          <w:sz w:val="20"/>
          <w:szCs w:val="20"/>
          <w:color w:val="auto"/>
        </w:rPr>
      </w:pPr>
      <w:r>
        <w:rPr>
          <w:rFonts w:ascii="Times New Roman" w:cs="Times New Roman" w:eastAsia="Times New Roman" w:hAnsi="Times New Roman"/>
          <w:sz w:val="18"/>
          <w:szCs w:val="18"/>
          <w:color w:val="auto"/>
        </w:rPr>
        <w:t>In May 2009, the FASB issued authoritative guidance for subsequent events that establishes general standards of accounting for and disclosure of events that occur after the balance sheet date but before financial statements are issued or are available to be issued. This guidance requires public companies to evaluate subsequent events through the date the financial statements are issued. This guidance is effective for interim and annual periods ending after June 15, 2009. The Company adopted the authoritative guidance in the third quarter of 2009. The Company evaluated subsequent events occurring after January 3, 2010 through the date the financial statements were issued and filed with the Securities and Exchange Commission. The Company determined there were no additional subsequent events that required recognition or disclosure.</w:t>
      </w:r>
    </w:p>
    <w:p>
      <w:pPr>
        <w:spacing w:after="0" w:line="139" w:lineRule="exact"/>
        <w:rPr>
          <w:sz w:val="20"/>
          <w:szCs w:val="20"/>
          <w:color w:val="auto"/>
        </w:rPr>
      </w:pPr>
    </w:p>
    <w:p>
      <w:pPr>
        <w:ind w:left="1140" w:right="20" w:hanging="204"/>
        <w:spacing w:after="0" w:line="256" w:lineRule="auto"/>
        <w:rPr>
          <w:sz w:val="20"/>
          <w:szCs w:val="20"/>
          <w:color w:val="auto"/>
        </w:rPr>
      </w:pPr>
      <w:r>
        <w:rPr>
          <w:rFonts w:ascii="Times New Roman" w:cs="Times New Roman" w:eastAsia="Times New Roman" w:hAnsi="Times New Roman"/>
          <w:sz w:val="18"/>
          <w:szCs w:val="18"/>
          <w:color w:val="auto"/>
        </w:rPr>
        <w:t>In June 2009, the FASB issued authoritative guidance that includes: (1) the elimination of the exemption for qualifying special purpose entities; (2) a new approach for determining who should consolidate a variable-interest entity; and (3) changes to when it is necessary to reassess who should consolidate a variable-interest entity. This guidance is effective for the first annual reporting period beginning after November 15, 2009 and for interim periods within that first annual reporting period. The Company will adopt this guidance in fiscal 2010 and is evaluating the impact it will have on the consolidated results of the Company.</w:t>
      </w:r>
    </w:p>
    <w:p>
      <w:pPr>
        <w:spacing w:after="0" w:line="139" w:lineRule="exact"/>
        <w:rPr>
          <w:sz w:val="20"/>
          <w:szCs w:val="20"/>
          <w:color w:val="auto"/>
        </w:rPr>
      </w:pPr>
    </w:p>
    <w:p>
      <w:pPr>
        <w:ind w:left="1140" w:right="200" w:hanging="204"/>
        <w:spacing w:after="0" w:line="275"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our consolidated financial statements upon adoption.</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71" w:lineRule="exact"/>
        <w:rPr>
          <w:sz w:val="20"/>
          <w:szCs w:val="20"/>
          <w:color w:val="auto"/>
        </w:rPr>
      </w:pPr>
    </w:p>
    <w:p>
      <w:pPr>
        <w:ind w:left="1140" w:right="100" w:hanging="20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920" w:right="6300" w:hanging="912"/>
        <w:spacing w:after="0" w:line="438" w:lineRule="auto"/>
        <w:tabs>
          <w:tab w:leader="none" w:pos="4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RECAPITALIZATIONS AND FINANCING ARRANGEMENTS </w:t>
      </w:r>
      <w:r>
        <w:rPr>
          <w:rFonts w:ascii="Times New Roman" w:cs="Times New Roman" w:eastAsia="Times New Roman" w:hAnsi="Times New Roman"/>
          <w:sz w:val="18"/>
          <w:szCs w:val="18"/>
          <w:u w:val="single" w:color="auto"/>
          <w:color w:val="auto"/>
        </w:rPr>
        <w:t>2007 Recapitalization</w:t>
      </w:r>
    </w:p>
    <w:p>
      <w:pPr>
        <w:spacing w:after="0" w:line="1" w:lineRule="exact"/>
        <w:rPr>
          <w:sz w:val="20"/>
          <w:szCs w:val="20"/>
          <w:color w:val="auto"/>
        </w:rPr>
      </w:pPr>
    </w:p>
    <w:p>
      <w:pPr>
        <w:ind w:left="1140" w:right="80" w:hanging="204"/>
        <w:spacing w:after="0" w:line="256" w:lineRule="auto"/>
        <w:rPr>
          <w:sz w:val="20"/>
          <w:szCs w:val="20"/>
          <w:color w:val="auto"/>
        </w:rPr>
      </w:pPr>
      <w:r>
        <w:rPr>
          <w:rFonts w:ascii="Times New Roman" w:cs="Times New Roman" w:eastAsia="Times New Roman" w:hAnsi="Times New Roman"/>
          <w:sz w:val="18"/>
          <w:szCs w:val="18"/>
          <w:color w:val="auto"/>
        </w:rPr>
        <w:t xml:space="preserve">On February 7, 2007, the Company announced a recapitalization transaction (the 2007 Recapitalization) comprised of (i) a stock tender offer for up to 13,850,000 shares of the Company’s common stock, (ii) an offer to purchase all of the outstanding 8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subordinated notes due 2011 (the 2011 Notes) pursuant to a debt tender offer, (iii) the repayment of all outstanding borrowings under a previous credit agreement, and (iv) a planned special cash dividend to stockholders and related anti-dilution payments and adjustments to certain option holders, in each case financed as described below.</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right="20" w:hanging="204"/>
        <w:spacing w:after="0" w:line="256" w:lineRule="auto"/>
        <w:rPr>
          <w:sz w:val="20"/>
          <w:szCs w:val="20"/>
          <w:color w:val="auto"/>
        </w:rPr>
      </w:pPr>
      <w:r>
        <w:rPr>
          <w:rFonts w:ascii="Times New Roman" w:cs="Times New Roman" w:eastAsia="Times New Roman" w:hAnsi="Times New Roman"/>
          <w:sz w:val="18"/>
          <w:szCs w:val="18"/>
          <w:color w:val="auto"/>
        </w:rPr>
        <w:t>On March 8, 2007, the Company entered into a $1.35 billion bridge facility credit agreement, consisting of (i) up to $1.25 billion in bridge term loans, and (ii) up to $100.0 million under a revolving credit facility. In connection with obtaining the bridge facility credit agreement, the Company paid $22.3 million in financing fees, which were recorded as a deferred financing cost asset in the consolidated balance sheet. Also on March 8, 2007, the Company borrowed $500.0 million in bridge term loans, which it used to repay all outstanding borrowings under the previous credit agreement. The previous credit agreement was concurrently terminated.</w:t>
      </w:r>
    </w:p>
    <w:p>
      <w:pPr>
        <w:spacing w:after="0" w:line="139" w:lineRule="exact"/>
        <w:rPr>
          <w:sz w:val="20"/>
          <w:szCs w:val="20"/>
          <w:color w:val="auto"/>
        </w:rPr>
      </w:pPr>
    </w:p>
    <w:p>
      <w:pPr>
        <w:ind w:left="1140" w:right="140" w:hanging="204"/>
        <w:spacing w:after="0" w:line="255" w:lineRule="auto"/>
        <w:rPr>
          <w:sz w:val="20"/>
          <w:szCs w:val="20"/>
          <w:color w:val="auto"/>
        </w:rPr>
      </w:pPr>
      <w:r>
        <w:rPr>
          <w:rFonts w:ascii="Times New Roman" w:cs="Times New Roman" w:eastAsia="Times New Roman" w:hAnsi="Times New Roman"/>
          <w:sz w:val="18"/>
          <w:szCs w:val="18"/>
          <w:color w:val="auto"/>
        </w:rPr>
        <w:t>On March 9, 2007, the Company borrowed an additional $280.0 million in bridge term loans which, along with existing available cash, it used to repurchase and retire, at a $13.3 million premium, $273.6 million in aggregate principal amount of 2011 Notes, representing substantially all of the then outstanding 2011 Notes. The Company wrote off $9.5 million of deferred financing fees and bond discount as part of the 2011 Notes repayments and repayments of the previous credit agreement. On March 9, 2007, the Company also announced the acceptance for purchase of 2,242 shares of its common stock under its stock tender offer at a purchase price of $30.00 per share, for a total purchase price of approximately $67,000.</w:t>
      </w:r>
    </w:p>
    <w:p>
      <w:pPr>
        <w:spacing w:after="0" w:line="139" w:lineRule="exact"/>
        <w:rPr>
          <w:sz w:val="20"/>
          <w:szCs w:val="20"/>
          <w:color w:val="auto"/>
        </w:rPr>
      </w:pPr>
    </w:p>
    <w:p>
      <w:pPr>
        <w:ind w:left="1140" w:hanging="204"/>
        <w:spacing w:after="0" w:line="253" w:lineRule="auto"/>
        <w:rPr>
          <w:sz w:val="20"/>
          <w:szCs w:val="20"/>
          <w:color w:val="auto"/>
        </w:rPr>
      </w:pPr>
      <w:r>
        <w:rPr>
          <w:rFonts w:ascii="Times New Roman" w:cs="Times New Roman" w:eastAsia="Times New Roman" w:hAnsi="Times New Roman"/>
          <w:sz w:val="18"/>
          <w:szCs w:val="18"/>
          <w:color w:val="auto"/>
        </w:rPr>
        <w:t>On April 16, 2007, a wholly-owned subsidiary of DPLLC and three of its wholly-owned subsidiaries completed an asset-backed securitization (ABS) by co-issuing a $1.85 billion facility in a private transaction consisting of $1.6 billion of 5.261% Fixed Rate Series 2007-1 Senior Notes, Class A-2 (Class A-2 Notes), $100.0 million of 7.629% Fixed Rate Series 2007-1 Subordinated Notes, Class M-1 (Class M-1 Notes and collectively with Class A-2 Notes, the Fixed Rate Notes) and $150.0 million of Variable Rate Series 2007-1 Senior Variable Funding Notes, Class A-1 (the Variable Funding Notes). Gross proceeds from the issuance of the Fixed Rate Notes were $1.7 billion. The Variable Funding Notes were undrawn upon at issuance. The Company used a portion of the Fixed Rate Note proceeds to (i) repay in full all outstanding bridge term loans and terminate the bridge facility credit agreement, (ii) capitalize certain new subsidiaries, and (iii) pay $38.1 million of ABS debt financing fees. The Company concurrently wrote-off the unamortized deferred financing fees related to the previously outstanding bridge facility credit agreement of approximately $21.9 million.</w:t>
      </w:r>
    </w:p>
    <w:p>
      <w:pPr>
        <w:spacing w:after="0" w:line="143" w:lineRule="exact"/>
        <w:rPr>
          <w:sz w:val="20"/>
          <w:szCs w:val="20"/>
          <w:color w:val="auto"/>
        </w:rPr>
      </w:pPr>
    </w:p>
    <w:p>
      <w:pPr>
        <w:ind w:left="1140" w:hanging="204"/>
        <w:spacing w:after="0" w:line="254" w:lineRule="auto"/>
        <w:rPr>
          <w:sz w:val="20"/>
          <w:szCs w:val="20"/>
          <w:color w:val="auto"/>
        </w:rPr>
      </w:pPr>
      <w:r>
        <w:rPr>
          <w:rFonts w:ascii="Times New Roman" w:cs="Times New Roman" w:eastAsia="Times New Roman" w:hAnsi="Times New Roman"/>
          <w:sz w:val="18"/>
          <w:szCs w:val="18"/>
          <w:color w:val="auto"/>
        </w:rPr>
        <w:t>On April 17, 2007, the Company completed the 2007 Recapitalization, with the declaration of a $13.50 per share special cash dividend on its outstanding common stock totaling $846.4 million, which was paid on May 4, 2007 to shareholders of record at the close of business on April 27, 2007. Additionally, pursuant to the anti-dilution provisions in the Company’s Equity Incentive Plans (Note 8), the Company made a corresponding cash payment of approximately $50.6 million on certain stock options, reduced the exercise price on certain other stock options by an equivalent per share amount and, in certain circumstances, both reduced the stock option exercise price and made a cash payment totaling $13.50 per share. Total cash paid for common stock dividends and related anti-dilution equivalent payments totaled $897.0 million, of which approximately $141.0 million was recorded as a reduction of additional paid-in capital and approximately $756.0 million was recorded as an increase in retained deficit.</w:t>
      </w:r>
    </w:p>
    <w:p>
      <w:pPr>
        <w:spacing w:after="0" w:line="138" w:lineRule="exact"/>
        <w:rPr>
          <w:sz w:val="20"/>
          <w:szCs w:val="20"/>
          <w:color w:val="auto"/>
        </w:rPr>
      </w:pPr>
    </w:p>
    <w:p>
      <w:pPr>
        <w:ind w:left="1140" w:right="40" w:hanging="204"/>
        <w:spacing w:after="0" w:line="275" w:lineRule="auto"/>
        <w:rPr>
          <w:sz w:val="20"/>
          <w:szCs w:val="20"/>
          <w:color w:val="auto"/>
        </w:rPr>
      </w:pPr>
      <w:r>
        <w:rPr>
          <w:rFonts w:ascii="Times New Roman" w:cs="Times New Roman" w:eastAsia="Times New Roman" w:hAnsi="Times New Roman"/>
          <w:sz w:val="18"/>
          <w:szCs w:val="18"/>
          <w:color w:val="auto"/>
        </w:rPr>
        <w:t>As part of the 2007 Recapitalization, the Company incurred general and administrative expenses of $2.9 million, comprised of $1.6 million of legal, professional and other fees and expenses and $1.3 million of non-cash compensation expenses.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The Fixed Rate Notes and the Variable Funding Notes</w:t>
      </w:r>
    </w:p>
    <w:p>
      <w:pPr>
        <w:spacing w:after="0" w:line="171" w:lineRule="exact"/>
        <w:rPr>
          <w:sz w:val="20"/>
          <w:szCs w:val="20"/>
          <w:color w:val="auto"/>
        </w:rPr>
      </w:pPr>
    </w:p>
    <w:p>
      <w:pPr>
        <w:ind w:left="1140" w:right="120" w:hanging="204"/>
        <w:spacing w:after="0" w:line="253" w:lineRule="auto"/>
        <w:rPr>
          <w:sz w:val="20"/>
          <w:szCs w:val="20"/>
          <w:color w:val="auto"/>
        </w:rPr>
      </w:pPr>
      <w:r>
        <w:rPr>
          <w:rFonts w:ascii="Times New Roman" w:cs="Times New Roman" w:eastAsia="Times New Roman" w:hAnsi="Times New Roman"/>
          <w:sz w:val="18"/>
          <w:szCs w:val="18"/>
          <w:color w:val="auto"/>
        </w:rPr>
        <w:t>The Class A-2 Notes bear interest at 5.261%, payable quarterly. The Class M-1 Notes bear interest at 7.629%, payable quarterly. The Fixed Rate Notes and Variable Funding Notes require no annual principal payments and the expected repayment date is April 25, 2014, with legal final maturity on April 27, 2037. In the event that the Fixed Rate Notes are not repaid in full by April 25, 2012 and certain covenants are met, the Company has the option to extend the maturities of the Fixed Rate Notes for two one-year terms at interest rates that may be higher than the current stated rates, depending on then current LIBOR rates and the Company’s performance against certain covenants. During the extension periods, partial principal repayments may be due depending on performance against certain covenants. Following the extension periods, or if the Company does not qualify for the extensions in 2012 and 2013, all cash generated by the Company less a specific amount allocated to the Company as a servicing fee must be used to pay down outstanding principal amounts and interest rates may be higher than previous extension periods.</w:t>
      </w:r>
    </w:p>
    <w:p>
      <w:pPr>
        <w:spacing w:after="0" w:line="143" w:lineRule="exact"/>
        <w:rPr>
          <w:sz w:val="20"/>
          <w:szCs w:val="20"/>
          <w:color w:val="auto"/>
        </w:rPr>
      </w:pPr>
    </w:p>
    <w:p>
      <w:pPr>
        <w:ind w:left="1140" w:right="80" w:hanging="204"/>
        <w:spacing w:after="0" w:line="254" w:lineRule="auto"/>
        <w:rPr>
          <w:sz w:val="20"/>
          <w:szCs w:val="20"/>
          <w:color w:val="auto"/>
        </w:rPr>
      </w:pPr>
      <w:r>
        <w:rPr>
          <w:rFonts w:ascii="Times New Roman" w:cs="Times New Roman" w:eastAsia="Times New Roman" w:hAnsi="Times New Roman"/>
          <w:sz w:val="18"/>
          <w:szCs w:val="18"/>
          <w:color w:val="auto"/>
        </w:rPr>
        <w:t>All principal and interest obligations under the Class A-2 Notes and the Variable Funding Notes have been guaranteed by insurance companies. The Company pays these insurance corporations an insurer premium which is recorded in interest expense. The Fixed Rate Notes and the Variable Funding Notes are guaranteed by four subsidiaries of DPLLC and secured by a security interest in substantially all of the assets of the Company, including royalty income from all domestic stores, domestic supply chain income, international income and intellectual property. The restrictions placed on the Company’s subsidiaries require that the Company’s interest obligations have first priority and amounts are segregated weekly to ensure appropriate funds are reserved to pay the quarterly interest amounts due. The amount of weekly cash flow that exceeds the required weekly interest reserve is generally remitted to the Company in the form of a dividend. However, once the interest obligations are satisfied, there are no further restrictions, including payment of dividends, on the cash flows of the subsidiaries.</w:t>
      </w:r>
    </w:p>
    <w:p>
      <w:pPr>
        <w:spacing w:after="0" w:line="138" w:lineRule="exact"/>
        <w:rPr>
          <w:sz w:val="20"/>
          <w:szCs w:val="20"/>
          <w:color w:val="auto"/>
        </w:rPr>
      </w:pPr>
    </w:p>
    <w:p>
      <w:pPr>
        <w:ind w:left="1140" w:hanging="204"/>
        <w:spacing w:after="0" w:line="253" w:lineRule="auto"/>
        <w:rPr>
          <w:sz w:val="20"/>
          <w:szCs w:val="20"/>
          <w:color w:val="auto"/>
        </w:rPr>
      </w:pPr>
      <w:r>
        <w:rPr>
          <w:rFonts w:ascii="Times New Roman" w:cs="Times New Roman" w:eastAsia="Times New Roman" w:hAnsi="Times New Roman"/>
          <w:sz w:val="18"/>
          <w:szCs w:val="18"/>
          <w:color w:val="auto"/>
        </w:rPr>
        <w:t>The Fixed Rate Notes are subject to certain financial and non-financial covenants, including a debt service coverage calculation, as defined in the related agreements. The covenants, among other things, limit the ability of certain of our subsidiaries to declare dividends, make loans or advances or enter into transactions with affiliates. In the event that certain covenants are not met, the Fixed Rate Notes may become partially or fully due and payable on an accelerated schedule. Additionally, in the event that one or both of the insurance companies that provide financial guaranties of our Fixed Rate Notes and Variable Funding Note payments were to become the subject of insolvency or similar proceedings, the lenders would not be required to fund our Variable Funding Notes. Further, if one or both of the insurance companies’ obligations under the related policies were terminated or canceled as a result of those proceedings, all unpaid amounts could become immediately due and payable at the direction or consent of holders of a majority of the outstanding Fixed Rate Notes or the remaining insurance company that is not the subject of insolvency or similar proceedings. In addition, the Company may voluntarily prepay, in part or in full, the Fixed Rate Notes at any time, subject to certain make-whole interest obligations.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Interest and principal on the Class M-1 Notes is subordinated to interest and principal on the Class A-2 Notes and the Variable Funding Notes.</w:t>
      </w:r>
    </w:p>
    <w:p>
      <w:pPr>
        <w:spacing w:after="0" w:line="171" w:lineRule="exact"/>
        <w:rPr>
          <w:sz w:val="20"/>
          <w:szCs w:val="20"/>
          <w:color w:val="auto"/>
        </w:rPr>
      </w:pPr>
    </w:p>
    <w:p>
      <w:pPr>
        <w:jc w:val="both"/>
        <w:ind w:left="1140" w:right="40" w:hanging="204"/>
        <w:spacing w:after="0" w:line="262" w:lineRule="auto"/>
        <w:rPr>
          <w:sz w:val="20"/>
          <w:szCs w:val="20"/>
          <w:color w:val="auto"/>
        </w:rPr>
      </w:pPr>
      <w:r>
        <w:rPr>
          <w:rFonts w:ascii="Times New Roman" w:cs="Times New Roman" w:eastAsia="Times New Roman" w:hAnsi="Times New Roman"/>
          <w:sz w:val="18"/>
          <w:szCs w:val="18"/>
          <w:color w:val="auto"/>
        </w:rPr>
        <w:t>The Variable Funding Notes allowed for the issuance of up to $150.0 million of financing and certain other credit instruments, including up to $60.0 million of letters of credit in support of various obligations of the Company. Interest on outstanding Variable Funding Note borrowings is payable quarterly at a rate equal to a commercial paper rate plus 0.5%.</w:t>
      </w:r>
    </w:p>
    <w:p>
      <w:pPr>
        <w:spacing w:after="0" w:line="132" w:lineRule="exact"/>
        <w:rPr>
          <w:sz w:val="20"/>
          <w:szCs w:val="20"/>
          <w:color w:val="auto"/>
        </w:rPr>
      </w:pPr>
    </w:p>
    <w:p>
      <w:pPr>
        <w:ind w:left="1140" w:right="60" w:hanging="204"/>
        <w:spacing w:after="0" w:line="258" w:lineRule="auto"/>
        <w:rPr>
          <w:sz w:val="20"/>
          <w:szCs w:val="20"/>
          <w:color w:val="auto"/>
        </w:rPr>
      </w:pPr>
      <w:r>
        <w:rPr>
          <w:rFonts w:ascii="Times New Roman" w:cs="Times New Roman" w:eastAsia="Times New Roman" w:hAnsi="Times New Roman"/>
          <w:sz w:val="18"/>
          <w:szCs w:val="18"/>
          <w:color w:val="auto"/>
        </w:rPr>
        <w:t>During 2008, one of the Company’s Variable Funding Notes providers (the Primary VFN Provider) declared bankruptcy. As a result of the Primary VFN Provider’s bankruptcy, the Company’s ability to draw upon the Variable Funding Notes was reduced to $60.0 million. As a result of the reduction in the Variable Funding Notes, the Company wrote-off approximately $1.3 million of deferred financing fees to interest expense during the fourth quarter of 2008.</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right="80" w:hanging="204"/>
        <w:spacing w:after="0" w:line="256" w:lineRule="auto"/>
        <w:rPr>
          <w:sz w:val="20"/>
          <w:szCs w:val="20"/>
          <w:color w:val="auto"/>
        </w:rPr>
      </w:pPr>
      <w:r>
        <w:rPr>
          <w:rFonts w:ascii="Times New Roman" w:cs="Times New Roman" w:eastAsia="Times New Roman" w:hAnsi="Times New Roman"/>
          <w:sz w:val="18"/>
          <w:szCs w:val="18"/>
          <w:color w:val="auto"/>
        </w:rPr>
        <w:t>At January 3, 2010, there were $57.6 million of borrowings on the Variable Funding Notes. The Company had no borrowing capacity available under its $60.0 million Variable Funding Notes, net of $2.4 million pledged for a letter of credit at January 3, 2010. Subsequent to January 3, 2010, the Company terminated its last pre-existing letter of credit under the Variable Funding Notes which provided an additional $2.4 million of borrowing availability under the Variable Funding Notes. As a result, subsequent to January 3, 2010, the Company borrowed an additional $2.4 million under the Variable Funding Notes and currently has no borrowing capacity available under the $60.0 million facility.</w:t>
      </w:r>
    </w:p>
    <w:p>
      <w:pPr>
        <w:spacing w:after="0" w:line="139" w:lineRule="exact"/>
        <w:rPr>
          <w:sz w:val="20"/>
          <w:szCs w:val="20"/>
          <w:color w:val="auto"/>
        </w:rPr>
      </w:pPr>
    </w:p>
    <w:p>
      <w:pPr>
        <w:ind w:left="1140" w:hanging="204"/>
        <w:spacing w:after="0" w:line="253" w:lineRule="auto"/>
        <w:rPr>
          <w:sz w:val="20"/>
          <w:szCs w:val="20"/>
          <w:color w:val="auto"/>
        </w:rPr>
      </w:pPr>
      <w:r>
        <w:rPr>
          <w:rFonts w:ascii="Times New Roman" w:cs="Times New Roman" w:eastAsia="Times New Roman" w:hAnsi="Times New Roman"/>
          <w:sz w:val="18"/>
          <w:szCs w:val="18"/>
          <w:color w:val="auto"/>
        </w:rPr>
        <w:t>At January 3, 2010, management estimates that the over $1.4 billion of outstanding Class A-2 Notes had a fair value of approximately $1.2 billion and the $100.0 million of outstanding Class M-1 Notes had a fair value of approximately $77.6 million. Management believes that these decreases in fair value from their carrying amounts are primarily due to current economic conditions and the current state of the credit markets for similar debt instruments. The Company determined the estimated fair value amounts by using available market information. The Company obtained broker quotes from three separate brokerage firms that are knowledgeable about the Company’s fixed rate notes and at times, trade these notes. Further, the Company performs its own internal analysis based on the information it gathers from public markets, including information on notes that are similar to that of the Company. However, considerable judgment is required in interpreting market data to develop estimates of fair value. Accordingly, the fair value estimates presented herein are not necessarily indicative of the amount that the Company or the debtholders could realize in a current market exchange. The use of different assumptions and/or estimation methodologies may have a material effect on the estimated fair value.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Letters of Credit</w:t>
      </w:r>
    </w:p>
    <w:p>
      <w:pPr>
        <w:spacing w:after="0" w:line="171" w:lineRule="exact"/>
        <w:rPr>
          <w:sz w:val="20"/>
          <w:szCs w:val="20"/>
          <w:color w:val="auto"/>
        </w:rPr>
      </w:pPr>
    </w:p>
    <w:p>
      <w:pPr>
        <w:ind w:left="1140" w:right="60" w:hanging="204"/>
        <w:spacing w:after="0" w:line="291" w:lineRule="auto"/>
        <w:rPr>
          <w:sz w:val="20"/>
          <w:szCs w:val="20"/>
          <w:color w:val="auto"/>
        </w:rPr>
      </w:pPr>
      <w:r>
        <w:rPr>
          <w:rFonts w:ascii="Times New Roman" w:cs="Times New Roman" w:eastAsia="Times New Roman" w:hAnsi="Times New Roman"/>
          <w:sz w:val="16"/>
          <w:szCs w:val="16"/>
          <w:color w:val="auto"/>
        </w:rPr>
        <w:t>During fiscal 2009, DPLLC entered into a Letter of Credit Agreement (the L/C Agreement) pursuant to which the counterparty may issue, at DPLLC’s request, up to $50.0 million of standby letters of credit (the Commitment) for the account of DPLLC and its subsidiaries. Pursuant to the L/C Agreement, DPLLC will maintain a cash collateral account holding an amount equal to 105% of any outstanding letters of credit and pay to the counterparty quarterly commitment fees of 0.375% per annum of the unused portion of the commitment and quarterly letter of credit fees of 0.75% per annum of the undrawn face amount of any outstanding letters of credit. As of January 3, 2010, the Company had $33.3 million of outstanding standby letters of credit under the L/C Agreement and restricted $34.9 million of cash on its consolidated balance sheet as collateral for these outstanding letters of credit. These letters of credit primarily relate to our insurance programs and supply chain center leases.</w:t>
      </w:r>
    </w:p>
    <w:p>
      <w:pPr>
        <w:spacing w:after="0" w:line="113" w:lineRule="exact"/>
        <w:rPr>
          <w:sz w:val="20"/>
          <w:szCs w:val="20"/>
          <w:color w:val="auto"/>
        </w:rPr>
      </w:pPr>
    </w:p>
    <w:p>
      <w:pPr>
        <w:ind w:left="1140" w:right="20" w:hanging="204"/>
        <w:spacing w:after="0" w:line="258" w:lineRule="auto"/>
        <w:rPr>
          <w:sz w:val="20"/>
          <w:szCs w:val="20"/>
          <w:color w:val="auto"/>
        </w:rPr>
      </w:pPr>
      <w:r>
        <w:rPr>
          <w:rFonts w:ascii="Times New Roman" w:cs="Times New Roman" w:eastAsia="Times New Roman" w:hAnsi="Times New Roman"/>
          <w:sz w:val="18"/>
          <w:szCs w:val="18"/>
          <w:color w:val="auto"/>
        </w:rPr>
        <w:t>As a result of, and concurrent with the execution of the L/C Agreement, the Company terminated substantially all of its pre-existing letters of credit in order to provide additional borrowing availability under its Variable Funding Notes. During the third and fourth quarters of 2009, the Company borrowed $36.3 million under the Variable Funding Notes. During fiscal 2009, the Company borrowed a total of approximately $61.0 million under the Variable Funding Notes and repaid $3.4 million of those borrowings.</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Repurchases of Long-Term Debt</w:t>
      </w:r>
    </w:p>
    <w:p>
      <w:pPr>
        <w:spacing w:after="0" w:line="171" w:lineRule="exact"/>
        <w:rPr>
          <w:sz w:val="20"/>
          <w:szCs w:val="20"/>
          <w:color w:val="auto"/>
        </w:rPr>
      </w:pPr>
    </w:p>
    <w:p>
      <w:pPr>
        <w:ind w:left="1140" w:right="260" w:hanging="204"/>
        <w:spacing w:after="0" w:line="256" w:lineRule="auto"/>
        <w:rPr>
          <w:sz w:val="20"/>
          <w:szCs w:val="20"/>
          <w:color w:val="auto"/>
        </w:rPr>
      </w:pPr>
      <w:r>
        <w:rPr>
          <w:rFonts w:ascii="Times New Roman" w:cs="Times New Roman" w:eastAsia="Times New Roman" w:hAnsi="Times New Roman"/>
          <w:sz w:val="18"/>
          <w:szCs w:val="18"/>
          <w:color w:val="auto"/>
        </w:rPr>
        <w:t>During fiscal 2009, the Company repurchased and retired approximately $189.2 million in principal amount of its Class A-2 Notes for a total purchase price of approximately $133.9 million, including approximately $1.0 million of accrued interest that resulted in pre-tax gains of approximately $56.3 million in fiscal 2009. The pre-tax gains were recorded in Other in the Company’s consolidated statements of income. In connection with the aforementioned transactions, the Company wrote-off deferred financing fees of approximately $2.3 million in fiscal 2009, which were recorded in interest expense in the Company’s consolidated statements of income.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hanging="204"/>
        <w:spacing w:after="0" w:line="256" w:lineRule="auto"/>
        <w:rPr>
          <w:sz w:val="20"/>
          <w:szCs w:val="20"/>
          <w:color w:val="auto"/>
        </w:rPr>
      </w:pPr>
      <w:r>
        <w:rPr>
          <w:rFonts w:ascii="Times New Roman" w:cs="Times New Roman" w:eastAsia="Times New Roman" w:hAnsi="Times New Roman"/>
          <w:sz w:val="18"/>
          <w:szCs w:val="18"/>
          <w:color w:val="auto"/>
        </w:rPr>
        <w:t>Subsequent to January 3, 2010, the Company repurchased and retired an additional $50.0 million in principal amount of its Class A-2 Notes for a total purchase price of approximately $44.8 million, including approximately $76,000 of accrued interest that resulted in pre-tax gains of approximately $5.2 million. The pre-tax gains will be recorded in the first quarter of fiscal 2010 in Other in the Company’s consolidated statements of income. This $50.0 million principal amount of Class A-2 Notes is classified as a current liability in the Company’s consolidated balance sheet as of January 3, 2010.</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Consolidated Long-Term Debt</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At December 28, 2008 and January 3, 2010, consolidated long-term debt consisted of the following (in thousands):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Funding Notes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5.261% Class A-2 Notes; expected repayment date April 2014; legal final maturity April</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2037, net of an unamortized discount of $40,000 in 2008 and $30,000 in 2009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1,599,960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1,410,756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7.629% Class M-1 Notes; expected repayment date April 2014; legal final maturity April</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2037</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1,704,784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1,572,833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 current portion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50,370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long-term debt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1,704,444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1,522,463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50990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32" w:lineRule="exact"/>
        <w:rPr>
          <w:sz w:val="20"/>
          <w:szCs w:val="20"/>
          <w:color w:val="auto"/>
        </w:rPr>
      </w:pPr>
    </w:p>
    <w:p>
      <w:pPr>
        <w:ind w:left="1140" w:right="140" w:hanging="204"/>
        <w:spacing w:after="0" w:line="275" w:lineRule="auto"/>
        <w:rPr>
          <w:sz w:val="20"/>
          <w:szCs w:val="20"/>
          <w:color w:val="auto"/>
        </w:rPr>
      </w:pPr>
      <w:r>
        <w:rPr>
          <w:rFonts w:ascii="Times New Roman" w:cs="Times New Roman" w:eastAsia="Times New Roman" w:hAnsi="Times New Roman"/>
          <w:sz w:val="18"/>
          <w:szCs w:val="18"/>
          <w:color w:val="auto"/>
        </w:rPr>
        <w:t>At January 3, 2010, maturities of long-term debt and capital lease obligation are as follows, which exclude approximately $30,000 unamortized discount on the Class A-2 Notes (in thousands):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5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5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5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1,518,898</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1,572,863</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5400" w:type="dxa"/>
            <w:vAlign w:val="bottom"/>
            <w:vMerge w:val="restart"/>
          </w:tcPr>
          <w:p>
            <w:pPr>
              <w:jc w:val="right"/>
              <w:ind w:right="3372"/>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4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As of January 3, 2010, the future minimum rental commitments for all non-cancelable leases are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1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4"/>
              </w:rPr>
              <w:t>Operating</w:t>
            </w:r>
          </w:p>
        </w:tc>
        <w:tc>
          <w:tcPr>
            <w:tcW w:w="420" w:type="dxa"/>
            <w:vAlign w:val="bottom"/>
          </w:tcPr>
          <w:p>
            <w:pPr>
              <w:spacing w:after="0"/>
              <w:rPr>
                <w:sz w:val="18"/>
                <w:szCs w:val="18"/>
                <w:color w:val="auto"/>
              </w:rPr>
            </w:pPr>
          </w:p>
        </w:tc>
        <w:tc>
          <w:tcPr>
            <w:tcW w:w="8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6"/>
              </w:rPr>
              <w:t>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Leases</w:t>
            </w:r>
          </w:p>
        </w:tc>
        <w:tc>
          <w:tcPr>
            <w:tcW w:w="420" w:type="dxa"/>
            <w:vAlign w:val="bottom"/>
          </w:tcPr>
          <w:p>
            <w:pPr>
              <w:spacing w:after="0"/>
              <w:rPr>
                <w:sz w:val="19"/>
                <w:szCs w:val="19"/>
                <w:color w:val="auto"/>
              </w:rPr>
            </w:pPr>
          </w:p>
        </w:tc>
        <w:tc>
          <w:tcPr>
            <w:tcW w:w="8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5"/>
              </w:rPr>
              <w:t>Lease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152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52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139,687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146,068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amounts representing interest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(1,897)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payable on capital lease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-612140</wp:posOffset>
            </wp:positionV>
            <wp:extent cx="45021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-612140</wp:posOffset>
            </wp:positionV>
            <wp:extent cx="4330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Legal Proceedings and Related Matters</w:t>
      </w:r>
    </w:p>
    <w:p>
      <w:pPr>
        <w:spacing w:after="0" w:line="171" w:lineRule="exact"/>
        <w:rPr>
          <w:sz w:val="20"/>
          <w:szCs w:val="20"/>
          <w:color w:val="auto"/>
        </w:rPr>
      </w:pPr>
    </w:p>
    <w:p>
      <w:pPr>
        <w:ind w:left="1140" w:hanging="204"/>
        <w:spacing w:after="0" w:line="256" w:lineRule="auto"/>
        <w:rPr>
          <w:sz w:val="20"/>
          <w:szCs w:val="20"/>
          <w:color w:val="auto"/>
        </w:rPr>
      </w:pPr>
      <w:r>
        <w:rPr>
          <w:rFonts w:ascii="Times New Roman" w:cs="Times New Roman" w:eastAsia="Times New Roman" w:hAnsi="Times New Roman"/>
          <w:sz w:val="18"/>
          <w:szCs w:val="18"/>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In management’s opinion, these matters, individually and in the aggregate, will not have a significant adverse effect on the financial condition of the Company, and the established reserves adequately provide for the estimated resolution of such claims. The Company records legal fees associated with loss contingencies when they are probable and reasonably estimable.</w:t>
      </w:r>
    </w:p>
    <w:p>
      <w:pPr>
        <w:spacing w:after="0" w:line="179"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Income before provision for income taxes in 2007, 2008 and 2009 consists of the following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$82,583</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$82,870</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$135,522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700" w:type="dxa"/>
            <w:vAlign w:val="bottom"/>
            <w:vMerge w:val="restart"/>
          </w:tcPr>
          <w:p>
            <w:pPr>
              <w:jc w:val="right"/>
              <w:ind w:right="1652"/>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-325755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-325755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4330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hanging="204"/>
        <w:spacing w:after="0" w:line="275" w:lineRule="auto"/>
        <w:rPr>
          <w:sz w:val="20"/>
          <w:szCs w:val="20"/>
          <w:color w:val="auto"/>
        </w:rPr>
      </w:pPr>
      <w:r>
        <w:rPr>
          <w:rFonts w:ascii="Times New Roman" w:cs="Times New Roman" w:eastAsia="Times New Roman" w:hAnsi="Times New Roman"/>
          <w:sz w:val="18"/>
          <w:szCs w:val="18"/>
          <w:color w:val="auto"/>
        </w:rPr>
        <w:t>The differences between the United States Federal statutory income tax provision (using the statutory rate of 35%) and the Company’s consolidated provision for income taxes for 2007, 2008 and 2009 are summarized as follows (in thousands):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based on the statutory rate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related Federal income taxes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Non-resident withholding and foreign income taxes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and other tax credits</w:t>
            </w: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(7,414)</w:t>
            </w: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(8,097)</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attributable to foreign subsidiaries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net of related Federal income taxes</w:t>
            </w:r>
          </w:p>
        </w:tc>
        <w:tc>
          <w:tcPr>
            <w:tcW w:w="15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(3,538)</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(523)</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components of the 2007, 2008 and 2009 consolidated provision for income taxes are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Federal income taxes –</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5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(4,655)</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provision for Federal income taxes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state and local income taxes –</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15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(2,857)</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(909)</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provision (benefit) for state and local income taxes</w:t>
            </w:r>
          </w:p>
        </w:tc>
        <w:tc>
          <w:tcPr>
            <w:tcW w:w="15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(3,766)</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non-resident withholding and foreign income taxes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$17,677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$55,778</w:t>
            </w:r>
          </w:p>
        </w:tc>
        <w:tc>
          <w:tcPr>
            <w:tcW w:w="0" w:type="dxa"/>
            <w:vAlign w:val="bottom"/>
          </w:tcPr>
          <w:p>
            <w:pPr>
              <w:spacing w:after="0"/>
              <w:rPr>
                <w:sz w:val="1"/>
                <w:szCs w:val="1"/>
                <w:color w:val="auto"/>
              </w:rPr>
            </w:pPr>
          </w:p>
        </w:tc>
      </w:tr>
      <w:tr>
        <w:trPr>
          <w:trHeight w:val="132"/>
        </w:trPr>
        <w:tc>
          <w:tcPr>
            <w:tcW w:w="5280" w:type="dxa"/>
            <w:vAlign w:val="bottom"/>
            <w:gridSpan w:val="2"/>
            <w:vMerge w:val="restart"/>
          </w:tcPr>
          <w:p>
            <w:pPr>
              <w:jc w:val="right"/>
              <w:ind w:right="772"/>
              <w:spacing w:after="0"/>
              <w:rPr>
                <w:sz w:val="20"/>
                <w:szCs w:val="20"/>
                <w:color w:val="auto"/>
              </w:rPr>
            </w:pPr>
            <w:r>
              <w:rPr>
                <w:rFonts w:ascii="Times New Roman" w:cs="Times New Roman" w:eastAsia="Times New Roman" w:hAnsi="Times New Roman"/>
                <w:sz w:val="18"/>
                <w:szCs w:val="18"/>
                <w:color w:val="auto"/>
              </w:rPr>
              <w:t>64</w:t>
            </w:r>
          </w:p>
        </w:tc>
        <w:tc>
          <w:tcPr>
            <w:tcW w:w="7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-325755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 of December 28, 2008 and January 3, 2010, the significant components of net deferred income taxes are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 income tax assets –</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amortization and asset basis differences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Covenants not-to-compete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Bad debt reserves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liability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Federal income tax assets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52,061</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 income tax liabilities –</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software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debt extinguishments</w:t>
            </w:r>
          </w:p>
        </w:tc>
        <w:tc>
          <w:tcPr>
            <w:tcW w:w="2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tax credit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Federal income tax liabilities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Federal income tax asset</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state and local income tax asset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37274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As of December 28, 2008, the classification of net deferred income taxes is summarized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w w:val="94"/>
              </w:rPr>
              <w:t>Current</w:t>
            </w:r>
          </w:p>
        </w:tc>
        <w:tc>
          <w:tcPr>
            <w:tcW w:w="15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Long-term</w:t>
            </w:r>
          </w:p>
        </w:tc>
        <w:tc>
          <w:tcPr>
            <w:tcW w:w="260" w:type="dxa"/>
            <w:vAlign w:val="bottom"/>
          </w:tcPr>
          <w:p>
            <w:pPr>
              <w:spacing w:after="0"/>
              <w:rPr>
                <w:sz w:val="19"/>
                <w:szCs w:val="19"/>
                <w:color w:val="auto"/>
              </w:rPr>
            </w:pPr>
          </w:p>
        </w:tc>
        <w:tc>
          <w:tcPr>
            <w:tcW w:w="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4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6"/>
              </w:rPr>
              <w:t>$ 9,033</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(8,167)</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(8,167)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44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6"/>
              </w:rPr>
              <w:t>$ 9,033</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As of January 3, 2010, the classification of net deferred income taxes is summarized as follows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Current</w:t>
            </w:r>
          </w:p>
        </w:tc>
        <w:tc>
          <w:tcPr>
            <w:tcW w:w="15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Long-term</w:t>
            </w:r>
          </w:p>
        </w:tc>
        <w:tc>
          <w:tcPr>
            <w:tcW w:w="260" w:type="dxa"/>
            <w:vAlign w:val="bottom"/>
          </w:tcPr>
          <w:p>
            <w:pPr>
              <w:spacing w:after="0"/>
              <w:rPr>
                <w:sz w:val="19"/>
                <w:szCs w:val="19"/>
                <w:color w:val="auto"/>
              </w:rPr>
            </w:pPr>
          </w:p>
        </w:tc>
        <w:tc>
          <w:tcPr>
            <w:tcW w:w="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40" w:type="dxa"/>
            <w:vAlign w:val="bottom"/>
            <w:gridSpan w:val="2"/>
            <w:shd w:val="clear" w:color="auto" w:fill="CCEEFF"/>
          </w:tcPr>
          <w:p>
            <w:pPr>
              <w:jc w:val="center"/>
              <w:ind w:left="1752"/>
              <w:spacing w:after="0"/>
              <w:rPr>
                <w:sz w:val="20"/>
                <w:szCs w:val="20"/>
                <w:color w:val="auto"/>
              </w:rPr>
            </w:pPr>
            <w:r>
              <w:rPr>
                <w:rFonts w:ascii="Times New Roman" w:cs="Times New Roman" w:eastAsia="Times New Roman" w:hAnsi="Times New Roman"/>
                <w:sz w:val="18"/>
                <w:szCs w:val="18"/>
                <w:color w:val="auto"/>
              </w:rPr>
              <w:t>$10,622</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$ 60,123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(27,655)</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(27,655)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440" w:type="dxa"/>
            <w:vAlign w:val="bottom"/>
            <w:gridSpan w:val="2"/>
            <w:shd w:val="clear" w:color="auto" w:fill="CCEEFF"/>
          </w:tcPr>
          <w:p>
            <w:pPr>
              <w:jc w:val="center"/>
              <w:ind w:left="1752"/>
              <w:spacing w:after="0"/>
              <w:rPr>
                <w:sz w:val="20"/>
                <w:szCs w:val="20"/>
                <w:color w:val="auto"/>
              </w:rPr>
            </w:pPr>
            <w:r>
              <w:rPr>
                <w:rFonts w:ascii="Times New Roman" w:cs="Times New Roman" w:eastAsia="Times New Roman" w:hAnsi="Times New Roman"/>
                <w:sz w:val="18"/>
                <w:szCs w:val="18"/>
                <w:color w:val="auto"/>
              </w:rPr>
              <w:t>$10,622</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$ 32,468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2" w:lineRule="exact"/>
        <w:rPr>
          <w:sz w:val="20"/>
          <w:szCs w:val="20"/>
          <w:color w:val="auto"/>
        </w:rPr>
      </w:pPr>
    </w:p>
    <w:p>
      <w:pPr>
        <w:ind w:left="1140" w:hanging="204"/>
        <w:spacing w:after="0" w:line="275" w:lineRule="auto"/>
        <w:rPr>
          <w:sz w:val="20"/>
          <w:szCs w:val="20"/>
          <w:color w:val="auto"/>
        </w:rPr>
      </w:pPr>
      <w:r>
        <w:rPr>
          <w:rFonts w:ascii="Times New Roman" w:cs="Times New Roman" w:eastAsia="Times New Roman" w:hAnsi="Times New Roman"/>
          <w:sz w:val="18"/>
          <w:szCs w:val="18"/>
          <w:color w:val="auto"/>
        </w:rPr>
        <w:t>The Company has recorded a $19.7 million deferred tax liability in 2009 for the gain on debt extinguishments which the Company plans to defer for tax purposes.</w:t>
      </w:r>
    </w:p>
    <w:p>
      <w:pPr>
        <w:sectPr>
          <w:pgSz w:w="11900" w:h="16838" w:orient="portrait"/>
          <w:cols w:equalWidth="0" w:num="1">
            <w:col w:w="11360"/>
          </w:cols>
          <w:pgMar w:left="240" w:top="455" w:right="299" w:bottom="1440" w:gutter="0" w:footer="0" w:header="0"/>
        </w:sectPr>
      </w:pP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455" w:right="29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jc w:val="both"/>
        <w:ind w:left="1140" w:right="200" w:hanging="204"/>
        <w:spacing w:after="0" w:line="258"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upon many factors, including, but not limited to, the Company’s ability to generate sufficient taxable income. Although realization of the Company’s net deferred tax assets is not assured, management believes it is more likely than not that the net deferred tax assets will be realized. On an ongoing basis, management will assess whether it remains more likely than not that the net deferred tax assets will be realized.</w:t>
      </w:r>
    </w:p>
    <w:p>
      <w:pPr>
        <w:spacing w:after="0" w:line="136" w:lineRule="exact"/>
        <w:rPr>
          <w:sz w:val="20"/>
          <w:szCs w:val="20"/>
          <w:color w:val="auto"/>
        </w:rPr>
      </w:pPr>
    </w:p>
    <w:p>
      <w:pPr>
        <w:ind w:left="1140" w:right="20" w:hanging="204"/>
        <w:spacing w:after="0" w:line="275" w:lineRule="auto"/>
        <w:rPr>
          <w:sz w:val="20"/>
          <w:szCs w:val="20"/>
          <w:color w:val="auto"/>
        </w:rPr>
      </w:pPr>
      <w:r>
        <w:rPr>
          <w:rFonts w:ascii="Times New Roman" w:cs="Times New Roman" w:eastAsia="Times New Roman" w:hAnsi="Times New Roman"/>
          <w:sz w:val="18"/>
          <w:szCs w:val="18"/>
          <w:color w:val="auto"/>
        </w:rPr>
        <w:t>For financial reporting purposes the Company’s investment in foreign subsidiaries does not exceed its tax basis. Therefore no deferred income taxes have been provided.</w:t>
      </w:r>
    </w:p>
    <w:p>
      <w:pPr>
        <w:spacing w:after="0" w:line="120" w:lineRule="exact"/>
        <w:rPr>
          <w:sz w:val="20"/>
          <w:szCs w:val="20"/>
          <w:color w:val="auto"/>
        </w:rPr>
      </w:pPr>
    </w:p>
    <w:p>
      <w:pPr>
        <w:ind w:left="1140" w:hanging="204"/>
        <w:spacing w:after="0" w:line="254" w:lineRule="auto"/>
        <w:rPr>
          <w:sz w:val="20"/>
          <w:szCs w:val="20"/>
          <w:color w:val="auto"/>
        </w:rPr>
      </w:pPr>
      <w:r>
        <w:rPr>
          <w:rFonts w:ascii="Times New Roman" w:cs="Times New Roman" w:eastAsia="Times New Roman" w:hAnsi="Times New Roman"/>
          <w:sz w:val="18"/>
          <w:szCs w:val="18"/>
          <w:color w:val="auto"/>
        </w:rPr>
        <w:t>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percent likelihood of being realized upon ultimate settlement with the relevant tax authority. On January 1, 2007, the Company applied the authoritative guidance on accounting for uncertainty in income taxes to all tax positions for which the statute of limitations remained open. As a result of the adoption of this authoritative guidance, the Company recognized a net increase of $86,000 for unrecognized tax benefits, which also increased the January 1, 2007 balance of retained deficit. The Company recognizes accrued interest related to unrecognized tax benefits in interest expense and penalties in income tax expense.</w:t>
      </w:r>
    </w:p>
    <w:p>
      <w:pPr>
        <w:spacing w:after="0" w:line="141" w:lineRule="exact"/>
        <w:rPr>
          <w:sz w:val="20"/>
          <w:szCs w:val="20"/>
          <w:color w:val="auto"/>
        </w:rPr>
      </w:pPr>
    </w:p>
    <w:p>
      <w:pPr>
        <w:ind w:left="1140" w:hanging="204"/>
        <w:spacing w:after="0" w:line="275" w:lineRule="auto"/>
        <w:rPr>
          <w:sz w:val="20"/>
          <w:szCs w:val="20"/>
          <w:color w:val="auto"/>
        </w:rPr>
      </w:pPr>
      <w:r>
        <w:rPr>
          <w:rFonts w:ascii="Times New Roman" w:cs="Times New Roman" w:eastAsia="Times New Roman" w:hAnsi="Times New Roman"/>
          <w:sz w:val="18"/>
          <w:szCs w:val="18"/>
          <w:color w:val="auto"/>
        </w:rPr>
        <w:t>During 2007, the Company accrued interest expense of $1.5 million and penalties of $0.8 million and released interest of $2.0 million, and penalties of $2.1 million.</w:t>
      </w:r>
    </w:p>
    <w:p>
      <w:pPr>
        <w:spacing w:after="0" w:line="120" w:lineRule="exact"/>
        <w:rPr>
          <w:sz w:val="20"/>
          <w:szCs w:val="20"/>
          <w:color w:val="auto"/>
        </w:rPr>
      </w:pPr>
    </w:p>
    <w:p>
      <w:pPr>
        <w:ind w:left="1140" w:hanging="204"/>
        <w:spacing w:after="0" w:line="256" w:lineRule="auto"/>
        <w:rPr>
          <w:sz w:val="20"/>
          <w:szCs w:val="20"/>
          <w:color w:val="auto"/>
        </w:rPr>
      </w:pPr>
      <w:r>
        <w:rPr>
          <w:rFonts w:ascii="Times New Roman" w:cs="Times New Roman" w:eastAsia="Times New Roman" w:hAnsi="Times New Roman"/>
          <w:sz w:val="18"/>
          <w:szCs w:val="18"/>
          <w:color w:val="auto"/>
        </w:rPr>
        <w:t>During 2008, the Company accrued interest expense of $0.4 million and penalties of $0.1 million and released interest of $1.3 million, and penalties of $1.5 million. At December 28, 2008, the Company had $0.1 million of accrued interest and no accrued penalties. This amount is excluded from the $4.7 million total unrecognized tax benefit. Separately, in the fourth quarter of 2008 the Company recorded a $1.1 million income tax benefit related to differences in the Company’s income tax payable that accumulated over a number of prior years. The adjustment was recorded in the fourth quarter of 2008 on the basis that it was not material to the current or prior periods.</w:t>
      </w:r>
    </w:p>
    <w:p>
      <w:pPr>
        <w:spacing w:after="0" w:line="139" w:lineRule="exact"/>
        <w:rPr>
          <w:sz w:val="20"/>
          <w:szCs w:val="20"/>
          <w:color w:val="auto"/>
        </w:rPr>
      </w:pPr>
    </w:p>
    <w:p>
      <w:pPr>
        <w:ind w:left="1140" w:right="100" w:hanging="204"/>
        <w:spacing w:after="0" w:line="258" w:lineRule="auto"/>
        <w:rPr>
          <w:sz w:val="20"/>
          <w:szCs w:val="20"/>
          <w:color w:val="auto"/>
        </w:rPr>
      </w:pPr>
      <w:r>
        <w:rPr>
          <w:rFonts w:ascii="Times New Roman" w:cs="Times New Roman" w:eastAsia="Times New Roman" w:hAnsi="Times New Roman"/>
          <w:sz w:val="18"/>
          <w:szCs w:val="18"/>
          <w:color w:val="auto"/>
        </w:rPr>
        <w:t>During 2009, the Company accrued interest expense of $0.8 million and penalties of $0.4 million. At January 3, 2010, the amount of unrecognized tax benefits was $6.8 million of which, if ultimately recognized, $5.8 million would be recognized as an income tax benefit and reduce the Company’s effective tax rate. At January 3, 2010, the Company had $0.9 million of accrued interest and $0.4 million of accrued penalties. This amount is excluded from the $6.8 million total unrecognized tax benefit.</w:t>
      </w:r>
    </w:p>
    <w:p>
      <w:pPr>
        <w:spacing w:after="0" w:line="136" w:lineRule="exact"/>
        <w:rPr>
          <w:sz w:val="20"/>
          <w:szCs w:val="20"/>
          <w:color w:val="auto"/>
        </w:rPr>
      </w:pPr>
    </w:p>
    <w:p>
      <w:pPr>
        <w:ind w:left="1140" w:right="220" w:hanging="204"/>
        <w:spacing w:after="0" w:line="275" w:lineRule="auto"/>
        <w:rPr>
          <w:sz w:val="20"/>
          <w:szCs w:val="20"/>
          <w:color w:val="auto"/>
        </w:rPr>
      </w:pPr>
      <w:r>
        <w:rPr>
          <w:rFonts w:ascii="Times New Roman" w:cs="Times New Roman" w:eastAsia="Times New Roman" w:hAnsi="Times New Roman"/>
          <w:sz w:val="18"/>
          <w:szCs w:val="18"/>
          <w:color w:val="auto"/>
        </w:rPr>
        <w:t>The increase of unrecognized tax benefits during 2009 primarily relates to state income tax matters resulting from precedents established in 2009 case law.</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60"/>
          </w:cols>
          <w:pgMar w:left="240" w:top="455"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Balance as of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Additions for tax positions of prior years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Reductions in tax positions from prior years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Changes in prior year tax positions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Settlements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Lapses of applicable statute of limitations</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Balance as of December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Additions for tax positions of prior years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Reductions in tax positions from prior years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Changes in prior year tax positions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Settlements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Balance as of December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Additions for tax positions of prior years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Reductions in tax positions from prior years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Changes in prior year tax positions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Settlements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Lapses of applicable statute of limitations</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Balance as of January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left="180" w:right="1400" w:hanging="186"/>
        <w:spacing w:after="0" w:line="339" w:lineRule="auto"/>
        <w:rPr>
          <w:sz w:val="20"/>
          <w:szCs w:val="20"/>
          <w:color w:val="auto"/>
        </w:rPr>
      </w:pPr>
      <w:r>
        <w:rPr>
          <w:rFonts w:ascii="Times New Roman" w:cs="Times New Roman" w:eastAsia="Times New Roman" w:hAnsi="Times New Roman"/>
          <w:sz w:val="16"/>
          <w:szCs w:val="16"/>
          <w:color w:val="auto"/>
        </w:rPr>
        <w:t>$16,930 2,187</w:t>
      </w:r>
    </w:p>
    <w:p>
      <w:pPr>
        <w:spacing w:after="0" w:line="128"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(5,966)</w:t>
      </w:r>
    </w:p>
    <w:p>
      <w:pPr>
        <w:spacing w:after="0" w:line="21"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(2,398)</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943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6"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10,723</w:t>
      </w:r>
    </w:p>
    <w:p>
      <w:pPr>
        <w:spacing w:after="0" w:line="21"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48</w:t>
      </w:r>
    </w:p>
    <w:p>
      <w:pPr>
        <w:spacing w:after="0" w:line="213"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(2,594)</w:t>
      </w:r>
    </w:p>
    <w:p>
      <w:pPr>
        <w:spacing w:after="0" w:line="21"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(3,523)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943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4,654</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2,854</w:t>
      </w:r>
    </w:p>
    <w:p>
      <w:pPr>
        <w:spacing w:after="0" w:line="213"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(593)</w:t>
      </w:r>
    </w:p>
    <w:p>
      <w:pPr>
        <w:spacing w:after="0" w:line="21"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(80)</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943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$ 6,789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39878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640"/>
            <w:col w:w="1980"/>
          </w:cols>
          <w:pgMar w:left="240" w:top="455" w:right="319" w:bottom="1440" w:gutter="0" w:footer="0" w:header="0"/>
        </w:sectPr>
      </w:pPr>
    </w:p>
    <w:p>
      <w:pPr>
        <w:spacing w:after="0" w:line="228" w:lineRule="exact"/>
        <w:rPr>
          <w:sz w:val="20"/>
          <w:szCs w:val="20"/>
          <w:color w:val="auto"/>
        </w:rPr>
      </w:pPr>
    </w:p>
    <w:p>
      <w:pPr>
        <w:jc w:val="both"/>
        <w:ind w:left="1140" w:right="60" w:hanging="204"/>
        <w:spacing w:after="0" w:line="262" w:lineRule="auto"/>
        <w:rPr>
          <w:sz w:val="20"/>
          <w:szCs w:val="20"/>
          <w:color w:val="auto"/>
        </w:rPr>
      </w:pPr>
      <w:r>
        <w:rPr>
          <w:rFonts w:ascii="Times New Roman" w:cs="Times New Roman" w:eastAsia="Times New Roman" w:hAnsi="Times New Roman"/>
          <w:sz w:val="18"/>
          <w:szCs w:val="18"/>
          <w:color w:val="auto"/>
        </w:rPr>
        <w:t>The Company continues to be under examination by certain states. The Company’s Federal statute of limitation has expired for years prior to 2005 and the relevant state statutes vary. The Company expects the current ongoing examinations to be concluded in the next twelve months and does not expect the assessment of any significant additional amount in excess of amounts reserved.</w:t>
      </w:r>
    </w:p>
    <w:p>
      <w:pPr>
        <w:spacing w:after="0" w:line="173"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w:t>
      </w:r>
    </w:p>
    <w:p>
      <w:pPr>
        <w:spacing w:after="0" w:line="171"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The Company has a retirement savings plan which qualifies under Internal Revenue Code Section 401(k). All employees of the Company who have completed 1,000 hours of service and are at least 21 years of age are eligible to participate in the plan. The plan requires the Company to match 100% of the first 3% of each employee’s elective deferrals and 50% of the next 2% of each employee’s elective deferrals. The Company’s matching contributions are in Company common stock and vest immediately. The expenses incurred for Company contributions to the plan were approximately $4.2 million in 2007 and $3.4 million in each of 2008 and 2009, respectively. The Company contributed 204,164 shares, 365,561 shares and 449,583 shares of common stock to the plan in 2007, 2008 and 2009, respectively.</w:t>
      </w:r>
    </w:p>
    <w:p>
      <w:pPr>
        <w:spacing w:after="0" w:line="139" w:lineRule="exact"/>
        <w:rPr>
          <w:sz w:val="20"/>
          <w:szCs w:val="20"/>
          <w:color w:val="auto"/>
        </w:rPr>
      </w:pPr>
    </w:p>
    <w:p>
      <w:pPr>
        <w:jc w:val="both"/>
        <w:ind w:left="1140" w:right="280" w:hanging="204"/>
        <w:spacing w:after="0" w:line="310" w:lineRule="auto"/>
        <w:rPr>
          <w:sz w:val="20"/>
          <w:szCs w:val="20"/>
          <w:color w:val="auto"/>
        </w:rPr>
      </w:pPr>
      <w:r>
        <w:rPr>
          <w:rFonts w:ascii="Times New Roman" w:cs="Times New Roman" w:eastAsia="Times New Roman" w:hAnsi="Times New Roman"/>
          <w:sz w:val="16"/>
          <w:szCs w:val="16"/>
          <w:color w:val="auto"/>
        </w:rPr>
        <w:t>The Company has established a non-qualified deferred compensation plan available for certain key employees. Under this self-funding plan, the participants may defer up to 40% of their annual compensation. The participants direct the investment of their deferred compensation within several investment funds. The Company is not required to contribute and did not contribute to this plan during 2007, 2008 or 2009.</w:t>
      </w:r>
    </w:p>
    <w:p>
      <w:pPr>
        <w:spacing w:after="0" w:line="97" w:lineRule="exact"/>
        <w:rPr>
          <w:sz w:val="20"/>
          <w:szCs w:val="20"/>
          <w:color w:val="auto"/>
        </w:rPr>
      </w:pPr>
    </w:p>
    <w:p>
      <w:pPr>
        <w:ind w:left="1140" w:right="180" w:hanging="204"/>
        <w:spacing w:after="0" w:line="258" w:lineRule="auto"/>
        <w:rPr>
          <w:sz w:val="20"/>
          <w:szCs w:val="20"/>
          <w:color w:val="auto"/>
        </w:rPr>
      </w:pPr>
      <w:r>
        <w:rPr>
          <w:rFonts w:ascii="Times New Roman" w:cs="Times New Roman" w:eastAsia="Times New Roman" w:hAnsi="Times New Roman"/>
          <w:sz w:val="18"/>
          <w:szCs w:val="18"/>
          <w:color w:val="auto"/>
        </w:rPr>
        <w:t>The Company has an employee stock purchase discount plan (the ESPDP). Under the ESPDP, eligible employees may deduct up to 15% of their eligible wages to purchase common stock at 85% of the market price of the stock at the purchase date. The ESPDP requires employees to hold their purchased common stock for one year. There are 1,000,000 shares authorized to be issued under the ESPDP. There were 84,008 shares, 186,930 shares and 163,590 shares issued under the ESPDP in 2007, 2008 and 2009, respectively.</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240" w:top="455" w:right="31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WITH OFF-BALANCE SHEET RISK</w:t>
      </w:r>
    </w:p>
    <w:p>
      <w:pPr>
        <w:spacing w:after="0" w:line="171"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The Company is a party to stand-by letters of credit. The Company’s exposure to credit loss for stand-by letters of credit is represented by the contractual amounts of these instruments. The Company uses the same credit policies in making conditional obligations as it does for on-balance sheet instruments. Total conditional commitments under letters of credit as of January 3, 2010 are $35.7 million, and relate to the Company’s insurance programs and supply chain center leases. The Company has also guaranteed borrowings of franchisees of approximately $1.7 million as of January 3, 2010. Additionally, the Company has guaranteed lease payments related to certain franchisees’ lease arrangements. The maximum amount of potential future payments under these guarantees is $4.8 million as of January 3, 2010.</w:t>
      </w:r>
    </w:p>
    <w:p>
      <w:pPr>
        <w:spacing w:after="0" w:line="180"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71" w:lineRule="exact"/>
        <w:rPr>
          <w:sz w:val="20"/>
          <w:szCs w:val="20"/>
          <w:color w:val="auto"/>
        </w:rPr>
      </w:pPr>
    </w:p>
    <w:p>
      <w:pPr>
        <w:ind w:left="1140" w:right="360" w:hanging="204"/>
        <w:spacing w:after="0" w:line="275" w:lineRule="auto"/>
        <w:rPr>
          <w:sz w:val="20"/>
          <w:szCs w:val="20"/>
          <w:color w:val="auto"/>
        </w:rPr>
      </w:pPr>
      <w:r>
        <w:rPr>
          <w:rFonts w:ascii="Times New Roman" w:cs="Times New Roman" w:eastAsia="Times New Roman" w:hAnsi="Times New Roman"/>
          <w:sz w:val="18"/>
          <w:szCs w:val="18"/>
          <w:color w:val="auto"/>
        </w:rPr>
        <w:t>In connection with the 2007 Recapitalization, the Company repaid term loan holdings of $15.9 million to affiliates of DPI stockholders. Related interest expense to affiliates was approximately $203,000 in 2007.</w:t>
      </w:r>
    </w:p>
    <w:p>
      <w:pPr>
        <w:spacing w:after="0" w:line="160"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PLANS</w:t>
      </w:r>
    </w:p>
    <w:p>
      <w:pPr>
        <w:spacing w:after="0" w:line="171" w:lineRule="exact"/>
        <w:rPr>
          <w:sz w:val="20"/>
          <w:szCs w:val="20"/>
          <w:color w:val="auto"/>
        </w:rPr>
      </w:pPr>
    </w:p>
    <w:p>
      <w:pPr>
        <w:ind w:left="1140" w:right="440" w:hanging="204"/>
        <w:spacing w:after="0" w:line="275" w:lineRule="auto"/>
        <w:rPr>
          <w:sz w:val="20"/>
          <w:szCs w:val="20"/>
          <w:color w:val="auto"/>
        </w:rPr>
      </w:pPr>
      <w:r>
        <w:rPr>
          <w:rFonts w:ascii="Times New Roman" w:cs="Times New Roman" w:eastAsia="Times New Roman" w:hAnsi="Times New Roman"/>
          <w:sz w:val="18"/>
          <w:szCs w:val="18"/>
          <w:color w:val="auto"/>
        </w:rPr>
        <w:t>The cost of all employee stock options, as well as other equity-based compensation arrangements, is reflected in the consolidated statements of income based on the estimated fair value of the awards.</w:t>
      </w:r>
    </w:p>
    <w:p>
      <w:pPr>
        <w:spacing w:after="0" w:line="120" w:lineRule="exact"/>
        <w:rPr>
          <w:sz w:val="20"/>
          <w:szCs w:val="20"/>
          <w:color w:val="auto"/>
        </w:rPr>
      </w:pPr>
    </w:p>
    <w:p>
      <w:pPr>
        <w:ind w:left="1140" w:right="40" w:hanging="204"/>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both of which benefit certain of the Company’s employees and directors: the TISM, Inc. Stock Option Plan (the TISM Stock Option Plan) and the Domino’s Pizza, Inc. 2004 Equity Incentive Plan (the 2004 Equity Incentive Plan) (collectively, the Equity Incentive Plans). The TISM Stock Option Plan has been amended to prohibit the granting of additional stock options. As of January 3, 2010, the number of options granted and outstanding under the TISM Stock Option Plan was 1,189,531 shares of non-voting common stock. As of January 3, 2010, the maximum number of shares that may be granted under the 2004 Equity Incentive Plan is 15,600,000 shares of voting common stock of which 9,534,343 are outstanding related to stock options and other equity-based stock compensation grants. As of January 3, 2010, there are 5,712,533 shares of voting common stock that are authorized for grant under the 2004 Equity Incentive Plan but have not been granted, of which 446,000 stock options, 102,000 performance-based restricted shares and 67,000 restricted shares were granted subsequent to January 3, 2010.</w:t>
      </w:r>
    </w:p>
    <w:p>
      <w:pPr>
        <w:spacing w:after="0" w:line="143" w:lineRule="exact"/>
        <w:rPr>
          <w:sz w:val="20"/>
          <w:szCs w:val="20"/>
          <w:color w:val="auto"/>
        </w:rPr>
      </w:pPr>
    </w:p>
    <w:p>
      <w:pPr>
        <w:ind w:left="1140" w:right="140" w:hanging="204"/>
        <w:spacing w:after="0" w:line="258" w:lineRule="auto"/>
        <w:rPr>
          <w:sz w:val="20"/>
          <w:szCs w:val="20"/>
          <w:color w:val="auto"/>
        </w:rPr>
      </w:pPr>
      <w:r>
        <w:rPr>
          <w:rFonts w:ascii="Times New Roman" w:cs="Times New Roman" w:eastAsia="Times New Roman" w:hAnsi="Times New Roman"/>
          <w:sz w:val="18"/>
          <w:szCs w:val="18"/>
          <w:color w:val="auto"/>
        </w:rPr>
        <w:t>In connection with the 2007 Recapitalization, the Company recorded non-cash compensation expense of $1.3 million. The Company recorded total non-cash compensation expense, including the aforementioned amount of $8.4 million, $9.1 million and $17.3 million in 2007, 2008 and 2009, respectively, which reduced net income by $5.2 million, $5.6 million and $10.3 million in 2007, 2008 and 2009, respectively. All non-cash compensation expense amounts are recorded in general and administrative expense.</w:t>
      </w:r>
    </w:p>
    <w:p>
      <w:pPr>
        <w:spacing w:after="0" w:line="136" w:lineRule="exact"/>
        <w:rPr>
          <w:sz w:val="20"/>
          <w:szCs w:val="20"/>
          <w:color w:val="auto"/>
        </w:rPr>
      </w:pPr>
    </w:p>
    <w:p>
      <w:pPr>
        <w:ind w:left="1140" w:hanging="204"/>
        <w:spacing w:after="0" w:line="254" w:lineRule="auto"/>
        <w:rPr>
          <w:sz w:val="20"/>
          <w:szCs w:val="20"/>
          <w:color w:val="auto"/>
        </w:rPr>
      </w:pPr>
      <w:r>
        <w:rPr>
          <w:rFonts w:ascii="Times New Roman" w:cs="Times New Roman" w:eastAsia="Times New Roman" w:hAnsi="Times New Roman"/>
          <w:sz w:val="18"/>
          <w:szCs w:val="18"/>
          <w:color w:val="auto"/>
        </w:rPr>
        <w:t>In March 2009, the Company’s Board of Directors authorized a stock option exchange program that allowed eligible employees the opportunity to exchange certain options granted under the 2004 Equity Incentive Plan for a lesser number of replacement options with lower exercise prices. The Company’s shareholders approved the stock option exchange program at the 2009 Annual Meeting of Shareholders, held on April 28, 2009, and the Company executed the program in the second quarter of 2009. This amendment was accounted for as a modification. The incremental value to the option holders created as a result of the modification is being recognized as additional compensation expense over the remaining service period. This amount was calculated to be approximately $1.3 million (after-tax), of which approximately $0.8 million (after-tax) was recognized in 2009.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1140" w:hanging="204"/>
        <w:spacing w:after="0" w:line="252" w:lineRule="auto"/>
        <w:rPr>
          <w:sz w:val="20"/>
          <w:szCs w:val="20"/>
          <w:color w:val="auto"/>
        </w:rPr>
      </w:pPr>
      <w:r>
        <w:rPr>
          <w:rFonts w:ascii="Times New Roman" w:cs="Times New Roman" w:eastAsia="Times New Roman" w:hAnsi="Times New Roman"/>
          <w:sz w:val="18"/>
          <w:szCs w:val="18"/>
          <w:color w:val="auto"/>
        </w:rPr>
        <w:t>Separately, the Company’s Board of Directors authorized management to amend existing stock option agreements currently issued under the 2004 Equity Incentive Plan and all future stock option agreements issued under the 2004 Equity Incentive Plan. These amendments provide for accelerated vesting and extended exercise periods upon the retirement of option holders who have achieved specified service and age requirements. The amended terms of the relevant stock option agreements became effective in the second quarter of 2009. The amendments to the existing awards were accounted for as a modification. The incremental value to option holders created as a result of the modification is being recognized as additional compensation expense over the remaining service period. This amount was calculated to be approximately $0.3 million (after-tax), of which approximately $0.2 million (after-tax) was recognized in 2009. Additionally, the Company is required to accelerate previously unrecognized compensation expense that it would have been required to expense in future periods for these stock options. This resulted in the acceleration of approximately $2.1 million (after-tax) of compensation expense in the second quarter of 2009 for employees who accepted the amendment and who will meet the specified service and age requirements prior to the original vesting date. The $2.1 million (after-tax) of compensation expense recognized in the second quarter of 2009 was not incremental expense, but merely an acceleration of expense that would have been recognized in future periods.</w:t>
      </w: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71" w:lineRule="exact"/>
        <w:rPr>
          <w:sz w:val="20"/>
          <w:szCs w:val="20"/>
          <w:color w:val="auto"/>
        </w:rPr>
      </w:pPr>
    </w:p>
    <w:p>
      <w:pPr>
        <w:ind w:left="1140" w:right="40" w:hanging="204"/>
        <w:spacing w:after="0" w:line="258" w:lineRule="auto"/>
        <w:rPr>
          <w:sz w:val="20"/>
          <w:szCs w:val="20"/>
          <w:color w:val="auto"/>
        </w:rPr>
      </w:pPr>
      <w:r>
        <w:rPr>
          <w:rFonts w:ascii="Times New Roman" w:cs="Times New Roman" w:eastAsia="Times New Roman" w:hAnsi="Times New Roman"/>
          <w:sz w:val="18"/>
          <w:szCs w:val="18"/>
          <w:color w:val="auto"/>
        </w:rPr>
        <w:t>Options granted under the Equity Incentive Plans prior to fiscal 2009 were generally granted at the market price at the date of the grant, expire ten years from the date of grant and vest within five years from the date of grant. Options granted under the Equity Incentive Plans in fiscal 2009 were granted at the market price at the date of the grant, expire ten years from the date of grant and vest within three years from the date of grant. Additionally, options become fully exercisable upon vesting.</w:t>
      </w:r>
    </w:p>
    <w:p>
      <w:pPr>
        <w:spacing w:after="0" w:line="136" w:lineRule="exact"/>
        <w:rPr>
          <w:sz w:val="20"/>
          <w:szCs w:val="20"/>
          <w:color w:val="auto"/>
        </w:rPr>
      </w:pPr>
    </w:p>
    <w:p>
      <w:pPr>
        <w:ind w:left="1140" w:hanging="204"/>
        <w:spacing w:after="0" w:line="296" w:lineRule="auto"/>
        <w:rPr>
          <w:sz w:val="20"/>
          <w:szCs w:val="20"/>
          <w:color w:val="auto"/>
        </w:rPr>
      </w:pPr>
      <w:r>
        <w:rPr>
          <w:rFonts w:ascii="Times New Roman" w:cs="Times New Roman" w:eastAsia="Times New Roman" w:hAnsi="Times New Roman"/>
          <w:sz w:val="16"/>
          <w:szCs w:val="16"/>
          <w:color w:val="auto"/>
        </w:rPr>
        <w:t>As part of the 2007 Recapitalization and pursuant to the anti-dilution provisions in the Company’s Equity Incentive Plans, the Company made cash payments totaling approximately $50.6 million on certain stock options, reduced the exercise price on certain other stock options by an equivalent per share amount and, in certain circumstances, both reduced the stock option exercise price and made a cash payment totaling $13.50 per share. These anti-dilution payments were accounted for as modifications and settlements and were recorded as increases in total stockholders’ deficit. Affected stock option exercise prices presented below have been adjusted to reflect these 2007 Recapitalization-related actions.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Activity related to the Equity Incentive Plans is summarized as follows: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Common Stock Options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10"/>
        </w:trPr>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r>
      <w:tr>
        <w:trPr>
          <w:trHeight w:val="303"/>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Weighted</w:t>
            </w: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Average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6"/>
              </w:rPr>
              <w:t>Exercise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Exercise</w:t>
            </w:r>
          </w:p>
        </w:tc>
      </w:tr>
      <w:tr>
        <w:trPr>
          <w:trHeight w:val="228"/>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5"/>
              </w:rPr>
              <w:t>Outstanding</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Price</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Exercisable</w:t>
            </w:r>
          </w:p>
        </w:tc>
        <w:tc>
          <w:tcPr>
            <w:tcW w:w="120" w:type="dxa"/>
            <w:vAlign w:val="bottom"/>
          </w:tcPr>
          <w:p>
            <w:pPr>
              <w:spacing w:after="0"/>
              <w:rPr>
                <w:sz w:val="19"/>
                <w:szCs w:val="19"/>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Price</w:t>
            </w:r>
          </w:p>
        </w:tc>
      </w:tr>
      <w:tr>
        <w:trPr>
          <w:trHeight w:val="110"/>
        </w:trPr>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102"/>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31, 2006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6,788,548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16.84</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2,256,353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120" w:type="dxa"/>
            <w:vAlign w:val="bottom"/>
          </w:tcPr>
          <w:p>
            <w:pPr>
              <w:spacing w:after="0"/>
              <w:rPr>
                <w:sz w:val="18"/>
                <w:szCs w:val="18"/>
                <w:color w:val="auto"/>
              </w:rPr>
            </w:pPr>
          </w:p>
        </w:tc>
        <w:tc>
          <w:tcPr>
            <w:tcW w:w="5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Options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19.06</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cancelled</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(512,367)</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13.24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5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(542,663)</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8.61</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96"/>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30, 2007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7,794,518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13.16</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3,162,860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120" w:type="dxa"/>
            <w:vAlign w:val="bottom"/>
          </w:tcPr>
          <w:p>
            <w:pPr>
              <w:spacing w:after="0"/>
              <w:rPr>
                <w:sz w:val="18"/>
                <w:szCs w:val="18"/>
                <w:color w:val="auto"/>
              </w:rPr>
            </w:pPr>
          </w:p>
        </w:tc>
        <w:tc>
          <w:tcPr>
            <w:tcW w:w="5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Options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2,693,500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11.76</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cancelled</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(469,867)</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5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(136,099)</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7.63</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96"/>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December 28, 2008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9,882,052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12.87</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4,179,221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120" w:type="dxa"/>
            <w:vAlign w:val="bottom"/>
          </w:tcPr>
          <w:p>
            <w:pPr>
              <w:spacing w:after="0"/>
              <w:rPr>
                <w:sz w:val="18"/>
                <w:szCs w:val="18"/>
                <w:color w:val="auto"/>
              </w:rPr>
            </w:pPr>
          </w:p>
        </w:tc>
        <w:tc>
          <w:tcPr>
            <w:tcW w:w="5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Options granted (1)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4,964,011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9.71</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cancelled (1)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(4,729,368)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17.30</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5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(222,801)</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3.40</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96"/>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January 3, 2010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9,893,894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9.38</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5,241,864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132"/>
        </w:trPr>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13"/>
        </w:trPr>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-172720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ind w:left="1480" w:right="120" w:hanging="567"/>
        <w:spacing w:after="0" w:line="275" w:lineRule="auto"/>
        <w:tabs>
          <w:tab w:leader="none" w:pos="1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granted and cancelled in fiscal 2009 includes 3,898,411 stock options granted and 4,469,436 stock options cancelled in connection with the Company’s stock option exchange program.</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total intrinsic value for options outstanding was approximately $21.2 million, $1.3 million and $4.9 million as of December 30,</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2007, December 28, 2008 and January 3, 2010, respectively. The total intrinsic value for options exercisable was approximately $9.3 million,</w:t>
      </w:r>
    </w:p>
    <w:p>
      <w:pPr>
        <w:spacing w:after="0" w:line="9" w:lineRule="exact"/>
        <w:rPr>
          <w:sz w:val="20"/>
          <w:szCs w:val="20"/>
          <w:color w:val="auto"/>
        </w:rPr>
      </w:pPr>
    </w:p>
    <w:p>
      <w:pPr>
        <w:ind w:left="1140" w:right="40"/>
        <w:spacing w:after="0" w:line="261" w:lineRule="auto"/>
        <w:rPr>
          <w:sz w:val="20"/>
          <w:szCs w:val="20"/>
          <w:color w:val="auto"/>
        </w:rPr>
      </w:pPr>
      <w:r>
        <w:rPr>
          <w:rFonts w:ascii="Times New Roman" w:cs="Times New Roman" w:eastAsia="Times New Roman" w:hAnsi="Times New Roman"/>
          <w:sz w:val="18"/>
          <w:szCs w:val="18"/>
          <w:color w:val="auto"/>
        </w:rPr>
        <w:t>$1.0 million and $3.8 million as of December 30, 2007, December 28, 2008 and January 3, 2010, respectively. The total intrinsic value of options exercised was approximately $7.6 million, $0.7 million and $1.0 million in 2007, 2008 and 2009, respectively.</w:t>
      </w:r>
    </w:p>
    <w:p>
      <w:pPr>
        <w:spacing w:after="0" w:line="132" w:lineRule="exact"/>
        <w:rPr>
          <w:sz w:val="20"/>
          <w:szCs w:val="20"/>
          <w:color w:val="auto"/>
        </w:rPr>
      </w:pPr>
    </w:p>
    <w:p>
      <w:pPr>
        <w:ind w:left="1140" w:hanging="204"/>
        <w:spacing w:after="0" w:line="262" w:lineRule="auto"/>
        <w:rPr>
          <w:sz w:val="20"/>
          <w:szCs w:val="20"/>
          <w:color w:val="auto"/>
        </w:rPr>
      </w:pPr>
      <w:r>
        <w:rPr>
          <w:rFonts w:ascii="Times New Roman" w:cs="Times New Roman" w:eastAsia="Times New Roman" w:hAnsi="Times New Roman"/>
          <w:sz w:val="18"/>
          <w:szCs w:val="18"/>
          <w:color w:val="auto"/>
        </w:rPr>
        <w:t>As of January 3, 2010, there was $17.2 million of total unrecognized compensation cost related to unvested options granted under the Equity Incentive Plans which will be recognized on a straight-line basis over the related vesting period. This unrecognized compensation cost is expected to be recognized over a weighted average period of 2.8 years.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outstanding and exercisable at January 3, 2010 are as follows: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Options Outstanding</w:t>
            </w:r>
          </w:p>
        </w:tc>
        <w:tc>
          <w:tcPr>
            <w:tcW w:w="1100" w:type="dxa"/>
            <w:vAlign w:val="bottom"/>
          </w:tcPr>
          <w:p>
            <w:pPr>
              <w:spacing w:after="0"/>
              <w:rPr>
                <w:sz w:val="24"/>
                <w:szCs w:val="24"/>
                <w:color w:val="auto"/>
              </w:rPr>
            </w:pPr>
          </w:p>
        </w:tc>
      </w:tr>
      <w:tr>
        <w:trPr>
          <w:trHeight w:val="110"/>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3"/>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7"/>
              </w:rPr>
              <w:t>Weighted</w:t>
            </w: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5"/>
              </w:rPr>
              <w:t>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Weighted</w:t>
            </w: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Range</w:t>
            </w: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Remaining Life</w:t>
            </w:r>
          </w:p>
        </w:tc>
      </w:tr>
      <w:tr>
        <w:trPr>
          <w:trHeight w:val="110"/>
        </w:trPr>
        <w:tc>
          <w:tcPr>
            <w:tcW w:w="1160" w:type="dxa"/>
            <w:vAlign w:val="bottom"/>
            <w:tcBorders>
              <w:bottom w:val="single" w:sz="8" w:color="808080"/>
            </w:tcBorders>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7"/>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(Years)</w:t>
            </w:r>
          </w:p>
        </w:tc>
      </w:tr>
      <w:tr>
        <w:trPr>
          <w:trHeight w:val="217"/>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$ 0.75 – $ 8.00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1,303,540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$ 8.01 – $16.00</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8,582,054</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$16.01 – $24.00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$24.01 – $27.00</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2,800</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04"/>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Options Exercisable</w:t>
            </w:r>
          </w:p>
        </w:tc>
        <w:tc>
          <w:tcPr>
            <w:tcW w:w="1100" w:type="dxa"/>
            <w:vAlign w:val="bottom"/>
          </w:tcPr>
          <w:p>
            <w:pPr>
              <w:spacing w:after="0"/>
              <w:rPr>
                <w:sz w:val="24"/>
                <w:szCs w:val="24"/>
                <w:color w:val="auto"/>
              </w:rPr>
            </w:pPr>
          </w:p>
        </w:tc>
      </w:tr>
      <w:tr>
        <w:trPr>
          <w:trHeight w:val="110"/>
        </w:trPr>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03"/>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7"/>
              </w:rPr>
              <w:t>Weighted</w:t>
            </w: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5"/>
              </w:rPr>
              <w:t>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Weighted</w:t>
            </w: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Range</w:t>
            </w: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Remaining Life</w:t>
            </w:r>
          </w:p>
        </w:tc>
      </w:tr>
      <w:tr>
        <w:trPr>
          <w:trHeight w:val="110"/>
        </w:trPr>
        <w:tc>
          <w:tcPr>
            <w:tcW w:w="1160" w:type="dxa"/>
            <w:vAlign w:val="bottom"/>
            <w:tcBorders>
              <w:bottom w:val="single" w:sz="8" w:color="808080"/>
            </w:tcBorders>
          </w:tcPr>
          <w:p>
            <w:pPr>
              <w:spacing w:after="0"/>
              <w:rPr>
                <w:sz w:val="9"/>
                <w:szCs w:val="9"/>
                <w:color w:val="auto"/>
              </w:rPr>
            </w:pPr>
          </w:p>
        </w:tc>
        <w:tc>
          <w:tcPr>
            <w:tcW w:w="4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7"/>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(Years)</w:t>
            </w:r>
          </w:p>
        </w:tc>
      </w:tr>
      <w:tr>
        <w:trPr>
          <w:trHeight w:val="217"/>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$ 0.75 – $ 8.00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912,040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$ 8.01 – $16.00</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4,323,924</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$16.01 – $24.00</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$24.01 – $27.00</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2,800</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35"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Management estimated the fair value of each option grant made during 2007, 2008 and 2009 as of the date of the grant using the Black-Scholes option pricing method. Weighted average assumptions are presented in the following table (this excludes options granted in connection with the Company’s stock option exchange program). The risk-free interest rate is based on the estimated effective term, and is the five-year or the average of the five-year and seven-year U.S. Treasury Bond rates, as applicable, as of the grant date. The expected life (years) is based on several factors, including, among other things, the vesting term and contractual term as well as historical experience. The expected volatility is based principally on the historical volatility of the Company’s share price.</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6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2007</w:t>
            </w:r>
          </w:p>
        </w:tc>
        <w:tc>
          <w:tcPr>
            <w:tcW w:w="3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2008</w:t>
            </w:r>
          </w:p>
        </w:tc>
        <w:tc>
          <w:tcPr>
            <w:tcW w:w="3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tcPr>
          <w:p>
            <w:pPr>
              <w:spacing w:after="0"/>
              <w:rPr>
                <w:sz w:val="19"/>
                <w:szCs w:val="19"/>
                <w:color w:val="auto"/>
              </w:rPr>
            </w:pPr>
          </w:p>
        </w:tc>
      </w:tr>
      <w:tr>
        <w:trPr>
          <w:trHeight w:val="110"/>
        </w:trPr>
        <w:tc>
          <w:tcPr>
            <w:tcW w:w="69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6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share</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3"/>
              </w:rPr>
              <w:t>$6.87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left="1140" w:right="520" w:hanging="204"/>
        <w:spacing w:after="0" w:line="262" w:lineRule="auto"/>
        <w:rPr>
          <w:sz w:val="20"/>
          <w:szCs w:val="20"/>
          <w:color w:val="auto"/>
        </w:rPr>
      </w:pPr>
      <w:r>
        <w:rPr>
          <w:rFonts w:ascii="Times New Roman" w:cs="Times New Roman" w:eastAsia="Times New Roman" w:hAnsi="Times New Roman"/>
          <w:sz w:val="18"/>
          <w:szCs w:val="18"/>
          <w:color w:val="auto"/>
        </w:rPr>
        <w:t>The weighted average assumptions used to calculate the incremental fair value associated with the options granted in connection with the Company’s stock option exchange program were as follows: (i) risk-free interest rate of 1.6%, (ii) expected life of 3.1 years, (iii) expected volatility of 58.8%, and (iv) expected dividend yield of 0.0%.</w:t>
      </w:r>
    </w:p>
    <w:p>
      <w:pPr>
        <w:spacing w:after="0" w:line="132" w:lineRule="exact"/>
        <w:rPr>
          <w:sz w:val="20"/>
          <w:szCs w:val="20"/>
          <w:color w:val="auto"/>
        </w:rPr>
      </w:pPr>
    </w:p>
    <w:p>
      <w:pPr>
        <w:ind w:left="1140" w:right="40" w:hanging="204"/>
        <w:spacing w:after="0" w:line="262" w:lineRule="auto"/>
        <w:rPr>
          <w:sz w:val="20"/>
          <w:szCs w:val="20"/>
          <w:color w:val="auto"/>
        </w:rPr>
      </w:pPr>
      <w:r>
        <w:rPr>
          <w:rFonts w:ascii="Times New Roman" w:cs="Times New Roman" w:eastAsia="Times New Roman" w:hAnsi="Times New Roman"/>
          <w:sz w:val="18"/>
          <w:szCs w:val="18"/>
          <w:color w:val="auto"/>
        </w:rPr>
        <w:t>Option valuation models require the input of highly subjective assumptions. In management’s opinion, existing models do not necessarily provide a reliable single measure of the fair value of the Company’s stock options, as changes in subjective input assumptions can significantly affect the fair value estimate.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60"/>
          </w:cols>
          <w:pgMar w:left="240" w:top="455" w:right="2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Other Equity-Based Compensation Arrangements</w:t>
      </w:r>
    </w:p>
    <w:p>
      <w:pPr>
        <w:spacing w:after="0" w:line="171" w:lineRule="exact"/>
        <w:rPr>
          <w:sz w:val="20"/>
          <w:szCs w:val="20"/>
          <w:color w:val="auto"/>
        </w:rPr>
      </w:pPr>
    </w:p>
    <w:p>
      <w:pPr>
        <w:ind w:left="1140" w:hanging="204"/>
        <w:spacing w:after="0" w:line="256" w:lineRule="auto"/>
        <w:rPr>
          <w:sz w:val="20"/>
          <w:szCs w:val="20"/>
          <w:color w:val="auto"/>
        </w:rPr>
      </w:pPr>
      <w:r>
        <w:rPr>
          <w:rFonts w:ascii="Times New Roman" w:cs="Times New Roman" w:eastAsia="Times New Roman" w:hAnsi="Times New Roman"/>
          <w:sz w:val="18"/>
          <w:szCs w:val="18"/>
          <w:color w:val="auto"/>
        </w:rPr>
        <w:t>The Company granted 75,000 shares of restricted stock to an employee and officer of the Company in each of 2008 and 2009 pursuant to the related employment agreements. These restricted stock grants are considered granted for accounting purposes in the year the related employment agreement was signed and the related per share expense will be amortized on a straight-line basis over the period from the accounting grant date to the end of 2010. As of January 3, 2010, there was approximately $0.7 million of total unrecognized compensation cost related to restricted stock which will be recognized on a straight-line basis in 2010.</w:t>
      </w:r>
    </w:p>
    <w:p>
      <w:pPr>
        <w:spacing w:after="0" w:line="139" w:lineRule="exact"/>
        <w:rPr>
          <w:sz w:val="20"/>
          <w:szCs w:val="20"/>
          <w:color w:val="auto"/>
        </w:rPr>
      </w:pPr>
    </w:p>
    <w:p>
      <w:pPr>
        <w:ind w:left="1140" w:right="40" w:hanging="204"/>
        <w:spacing w:after="0" w:line="254" w:lineRule="auto"/>
        <w:rPr>
          <w:sz w:val="20"/>
          <w:szCs w:val="20"/>
          <w:color w:val="auto"/>
        </w:rPr>
      </w:pPr>
      <w:r>
        <w:rPr>
          <w:rFonts w:ascii="Times New Roman" w:cs="Times New Roman" w:eastAsia="Times New Roman" w:hAnsi="Times New Roman"/>
          <w:sz w:val="18"/>
          <w:szCs w:val="18"/>
          <w:color w:val="auto"/>
        </w:rPr>
        <w:t>The Company issued approximately 687,000 shares of performance-based restricted stock to certain employees of the Company in the third quarter of 2009. The performance-based restricted stock awards are separated into three tranches and have time-based and performance-based vesting conditions with the last tranche vesting three years from the issuance date. These awards also contain provisions for accelerated vesting upon the retirement of holders that have achieved specific service and age requirements. These awards are considered granted for accounting purposes when the performance target is set, which is generally in the fourth quarter of each year. During 2009, the Company recognized approximately $1.4 million of non-cash compensation expense related to the first and second tranches of these awards. All non-cash compensation expense amounts are recorded in general and administrative expense. As of January 3, 2010, there was an estimated $6.6 million of total unrecognized compensation cost related to performance-based restricted stock.</w:t>
      </w:r>
    </w:p>
    <w:p>
      <w:pPr>
        <w:spacing w:after="0" w:line="179"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171" w:lineRule="exact"/>
        <w:rPr>
          <w:sz w:val="20"/>
          <w:szCs w:val="20"/>
          <w:color w:val="auto"/>
        </w:rPr>
      </w:pPr>
    </w:p>
    <w:p>
      <w:pPr>
        <w:ind w:left="1140" w:right="140" w:hanging="204"/>
        <w:spacing w:after="0" w:line="255" w:lineRule="auto"/>
        <w:rPr>
          <w:sz w:val="20"/>
          <w:szCs w:val="20"/>
          <w:color w:val="auto"/>
        </w:rPr>
      </w:pPr>
      <w:r>
        <w:rPr>
          <w:rFonts w:ascii="Times New Roman" w:cs="Times New Roman" w:eastAsia="Times New Roman" w:hAnsi="Times New Roman"/>
          <w:sz w:val="18"/>
          <w:szCs w:val="18"/>
          <w:color w:val="auto"/>
        </w:rPr>
        <w:t>As part of the 2007 Recapitalization, the Board of Directors approved an open market share repurchase program for up to $200.0 million of the Company’s common stock, which has historically been funded by free cash flow and borrowings available under the Variable Funding Notes. During 2007 and 2008, the Company repurchased 3,614,310 and 3,369,522 shares of common stock for approximately $54.4 million and $42.9 million, respectively. The Company did not repurchase any shares of its common stock during 2009.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139" w:lineRule="exact"/>
        <w:rPr>
          <w:sz w:val="20"/>
          <w:szCs w:val="20"/>
          <w:color w:val="auto"/>
        </w:rPr>
      </w:pPr>
    </w:p>
    <w:p>
      <w:pPr>
        <w:ind w:left="1140" w:hanging="204"/>
        <w:spacing w:after="0" w:line="275" w:lineRule="auto"/>
        <w:rPr>
          <w:sz w:val="20"/>
          <w:szCs w:val="20"/>
          <w:color w:val="auto"/>
        </w:rPr>
      </w:pPr>
      <w:r>
        <w:rPr>
          <w:rFonts w:ascii="Times New Roman" w:cs="Times New Roman" w:eastAsia="Times New Roman" w:hAnsi="Times New Roman"/>
          <w:sz w:val="18"/>
          <w:szCs w:val="18"/>
          <w:color w:val="auto"/>
        </w:rPr>
        <w:t>As of January 3, 2010, authorized common stock consists of 160,000,000 voting shares and 10,000,000 non-voting shares. The share components of outstanding common stock at December 28, 2008 and January 3, 2010 are as follows: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2008</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56,962,328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58,459,011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Non-Voting</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113,848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56,984,155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58,572,859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40" w:type="dxa"/>
            <w:vAlign w:val="bottom"/>
            <w:vMerge w:val="restart"/>
          </w:tcPr>
          <w:p>
            <w:pPr>
              <w:jc w:val="right"/>
              <w:ind w:right="2292"/>
              <w:spacing w:after="0"/>
              <w:rPr>
                <w:sz w:val="20"/>
                <w:szCs w:val="20"/>
                <w:color w:val="auto"/>
              </w:rPr>
            </w:pPr>
            <w:r>
              <w:rPr>
                <w:rFonts w:ascii="Times New Roman" w:cs="Times New Roman" w:eastAsia="Times New Roman" w:hAnsi="Times New Roman"/>
                <w:sz w:val="18"/>
                <w:szCs w:val="18"/>
                <w:color w:val="auto"/>
              </w:rPr>
              <w:t>72</w:t>
            </w:r>
          </w:p>
        </w:tc>
        <w:tc>
          <w:tcPr>
            <w:tcW w:w="9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SEGMENT INFORMATION</w:t>
      </w:r>
    </w:p>
    <w:p>
      <w:pPr>
        <w:spacing w:after="0" w:line="171" w:lineRule="exact"/>
        <w:rPr>
          <w:sz w:val="20"/>
          <w:szCs w:val="20"/>
          <w:color w:val="auto"/>
        </w:rPr>
      </w:pPr>
    </w:p>
    <w:p>
      <w:pPr>
        <w:ind w:left="1140" w:right="20" w:hanging="204"/>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segments: (i) Domestic Stores; (ii) Domestic Supply Chain; and (iii) International. The Company’s operations are organized by management on the combined basis of line of business and geography. The Domestic Stores segment includes operations with respect to all franchised and Company-owned stores throughout the contiguous United States. The Domestic Supply Chain segment primarily includes the distribution of food, equipment and supplies to the Domestic Stores segment from the Company’s regional supply chain centers. The International segment primarily includes operations related to the Company’s franchising business in foreign and non-contiguous United States markets and its supply chain center operations in Canada, Alaska and Hawaii.</w:t>
      </w:r>
    </w:p>
    <w:p>
      <w:pPr>
        <w:spacing w:after="0" w:line="139" w:lineRule="exact"/>
        <w:rPr>
          <w:sz w:val="20"/>
          <w:szCs w:val="20"/>
          <w:color w:val="auto"/>
        </w:rPr>
      </w:pPr>
    </w:p>
    <w:p>
      <w:pPr>
        <w:ind w:left="1140" w:right="260" w:hanging="204"/>
        <w:spacing w:after="0" w:line="26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 The Company evaluates the performance of its segments and allocates resources to them based on earnings before interest, taxes, depreciation, amortization and other, referred to as Segment Income.</w:t>
      </w:r>
    </w:p>
    <w:p>
      <w:pPr>
        <w:spacing w:after="0" w:line="132" w:lineRule="exact"/>
        <w:rPr>
          <w:sz w:val="20"/>
          <w:szCs w:val="20"/>
          <w:color w:val="auto"/>
        </w:rPr>
      </w:pPr>
    </w:p>
    <w:p>
      <w:pPr>
        <w:ind w:left="1140" w:hanging="204"/>
        <w:spacing w:after="0" w:line="255" w:lineRule="auto"/>
        <w:rPr>
          <w:sz w:val="20"/>
          <w:szCs w:val="20"/>
          <w:color w:val="auto"/>
        </w:rPr>
      </w:pPr>
      <w:r>
        <w:rPr>
          <w:rFonts w:ascii="Times New Roman" w:cs="Times New Roman" w:eastAsia="Times New Roman" w:hAnsi="Times New Roman"/>
          <w:sz w:val="18"/>
          <w:szCs w:val="18"/>
          <w:color w:val="auto"/>
        </w:rPr>
        <w:t>The tables below summarize the financial information concerning the Company’s reportable segments for 2007, 2008 and 2009. Intersegment Revenues are comprised of sales of food, equipment and supplies from the Domestic Supply Chain segment to the Company-owned stores in the Domestic Stores segment. Intersegment sales prices are market based. The “Other” column as it relates to Segment Income and income from operations information below primarily includes corporate administrative costs. The “Other” column as it relates to capital expenditures primarily includes capitalized software, certain equipment and leasehold improvements and, in 2007, a corporate aircraft. Tabular amounts presented below are in thousands.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Domestic</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Supply</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5"/>
              </w:rPr>
              <w:t>Intersegment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8"/>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Stores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Chain</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International</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Revenues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Total</w:t>
            </w:r>
          </w:p>
        </w:tc>
      </w:tr>
      <w:tr>
        <w:trPr>
          <w:trHeight w:val="110"/>
        </w:trPr>
        <w:tc>
          <w:tcPr>
            <w:tcW w:w="3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102"/>
        </w:trPr>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552,635</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889,513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(106,183)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1,462,870</w:t>
            </w:r>
          </w:p>
        </w:tc>
      </w:tr>
      <w:tr>
        <w:trPr>
          <w:trHeight w:val="216"/>
        </w:trPr>
        <w:tc>
          <w:tcPr>
            <w:tcW w:w="3060" w:type="dxa"/>
            <w:vAlign w:val="bottom"/>
            <w:shd w:val="clear" w:color="auto" w:fill="CCEEFF"/>
          </w:tcPr>
          <w:p>
            <w:pPr>
              <w:jc w:val="right"/>
              <w:ind w:right="2192"/>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511,561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870,675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1,425,114</w:t>
            </w:r>
          </w:p>
        </w:tc>
      </w:tr>
      <w:tr>
        <w:trPr>
          <w:trHeight w:val="228"/>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493,559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852,030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(88,297)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1,404,057</w:t>
            </w:r>
          </w:p>
        </w:tc>
      </w:tr>
      <w:tr>
        <w:trPr>
          <w:trHeight w:val="96"/>
        </w:trPr>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146,489</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58,271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(23,186)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239,326</w:t>
            </w:r>
          </w:p>
        </w:tc>
      </w:tr>
      <w:tr>
        <w:trPr>
          <w:trHeight w:val="216"/>
        </w:trPr>
        <w:tc>
          <w:tcPr>
            <w:tcW w:w="3060" w:type="dxa"/>
            <w:vAlign w:val="bottom"/>
            <w:shd w:val="clear" w:color="auto" w:fill="CCEEFF"/>
          </w:tcPr>
          <w:p>
            <w:pPr>
              <w:jc w:val="right"/>
              <w:ind w:right="2192"/>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123,299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54,803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(22,318)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220,159</w:t>
            </w:r>
          </w:p>
        </w:tc>
      </w:tr>
      <w:tr>
        <w:trPr>
          <w:trHeight w:val="228"/>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132,637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64,425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(30,770)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233,517</w:t>
            </w:r>
          </w:p>
        </w:tc>
      </w:tr>
      <w:tr>
        <w:trPr>
          <w:trHeight w:val="96"/>
        </w:trPr>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128,609</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49,682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(41,597)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193,910</w:t>
            </w:r>
          </w:p>
        </w:tc>
      </w:tr>
      <w:tr>
        <w:trPr>
          <w:trHeight w:val="216"/>
        </w:trPr>
        <w:tc>
          <w:tcPr>
            <w:tcW w:w="3060" w:type="dxa"/>
            <w:vAlign w:val="bottom"/>
            <w:shd w:val="clear" w:color="auto" w:fill="CCEEFF"/>
          </w:tcPr>
          <w:p>
            <w:pPr>
              <w:jc w:val="right"/>
              <w:ind w:right="2192"/>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126,907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47,058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(42,869)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195,030</w:t>
            </w:r>
          </w:p>
        </w:tc>
      </w:tr>
      <w:tr>
        <w:trPr>
          <w:trHeight w:val="228"/>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121,487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57,044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(55,844)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189,509</w:t>
            </w:r>
          </w:p>
        </w:tc>
      </w:tr>
      <w:tr>
        <w:trPr>
          <w:trHeight w:val="96"/>
        </w:trPr>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28,863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42,415</w:t>
            </w:r>
          </w:p>
        </w:tc>
      </w:tr>
      <w:tr>
        <w:trPr>
          <w:trHeight w:val="216"/>
        </w:trPr>
        <w:tc>
          <w:tcPr>
            <w:tcW w:w="3060" w:type="dxa"/>
            <w:vAlign w:val="bottom"/>
            <w:shd w:val="clear" w:color="auto" w:fill="CCEEFF"/>
          </w:tcPr>
          <w:p>
            <w:pPr>
              <w:jc w:val="right"/>
              <w:ind w:right="2192"/>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4,844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r>
      <w:tr>
        <w:trPr>
          <w:trHeight w:val="228"/>
        </w:trPr>
        <w:tc>
          <w:tcPr>
            <w:tcW w:w="30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8,512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w:t>
            </w:r>
          </w:p>
        </w:tc>
      </w:tr>
      <w:tr>
        <w:trPr>
          <w:trHeight w:val="350"/>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6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$ 233,517</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(31,176)</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(28,377)</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(24,064)</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sale/disposal of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compensation expense</w:t>
            </w: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(9,059)</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(12,533)</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for 2009 stock option plan changes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Store rationalization expenses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Separation and related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(1,445)</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Recapitalization-related expenses</w:t>
            </w: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California legal matters</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189,509</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(130,374)</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(114,906)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(110,945)</w:t>
            </w: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(13,294)</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56,275</w:t>
            </w:r>
          </w:p>
        </w:tc>
        <w:tc>
          <w:tcPr>
            <w:tcW w:w="60" w:type="dxa"/>
            <w:vAlign w:val="bottom"/>
          </w:tcPr>
          <w:p>
            <w:pPr>
              <w:spacing w:after="0"/>
              <w:rPr>
                <w:sz w:val="19"/>
                <w:szCs w:val="19"/>
                <w:color w:val="auto"/>
              </w:rPr>
            </w:pPr>
          </w:p>
        </w:tc>
      </w:tr>
      <w:tr>
        <w:trPr>
          <w:trHeight w:val="96"/>
        </w:trPr>
        <w:tc>
          <w:tcPr>
            <w:tcW w:w="6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$ 135,522</w:t>
            </w:r>
          </w:p>
        </w:tc>
        <w:tc>
          <w:tcPr>
            <w:tcW w:w="6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summarizes the Company’s identifiable asset information as of December 28, 2008 and January 3, 2010: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2009</w:t>
            </w:r>
          </w:p>
        </w:tc>
      </w:tr>
      <w:tr>
        <w:trPr>
          <w:trHeight w:val="110"/>
        </w:trPr>
        <w:tc>
          <w:tcPr>
            <w:tcW w:w="7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102"/>
        </w:trPr>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Stores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w:t>
            </w:r>
          </w:p>
        </w:tc>
      </w:tr>
      <w:tr>
        <w:trPr>
          <w:trHeight w:val="22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Supply Chain</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109,217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115,443</w:t>
            </w:r>
          </w:p>
        </w:tc>
      </w:tr>
      <w:tr>
        <w:trPr>
          <w:trHeight w:val="96"/>
        </w:trPr>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102"/>
        </w:trPr>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domestic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175,485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179,181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272,987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260,190</w:t>
            </w:r>
          </w:p>
        </w:tc>
      </w:tr>
      <w:tr>
        <w:trPr>
          <w:trHeight w:val="108"/>
        </w:trPr>
        <w:tc>
          <w:tcPr>
            <w:tcW w:w="7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102"/>
        </w:trPr>
        <w:tc>
          <w:tcPr>
            <w:tcW w:w="7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463,794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453,761</w:t>
            </w:r>
          </w:p>
        </w:tc>
      </w:tr>
      <w:tr>
        <w:trPr>
          <w:trHeight w:val="132"/>
        </w:trPr>
        <w:tc>
          <w:tcPr>
            <w:tcW w:w="78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4330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32" w:lineRule="exact"/>
        <w:rPr>
          <w:sz w:val="20"/>
          <w:szCs w:val="20"/>
          <w:color w:val="auto"/>
        </w:rPr>
      </w:pPr>
    </w:p>
    <w:p>
      <w:pPr>
        <w:ind w:left="1140" w:right="400" w:hanging="204"/>
        <w:spacing w:after="0" w:line="275" w:lineRule="auto"/>
        <w:rPr>
          <w:sz w:val="20"/>
          <w:szCs w:val="20"/>
          <w:color w:val="auto"/>
        </w:rPr>
      </w:pPr>
      <w:r>
        <w:rPr>
          <w:rFonts w:ascii="Times New Roman" w:cs="Times New Roman" w:eastAsia="Times New Roman" w:hAnsi="Times New Roman"/>
          <w:sz w:val="18"/>
          <w:szCs w:val="18"/>
          <w:color w:val="auto"/>
        </w:rPr>
        <w:t>Unallocated assets primarily include cash and cash equivalents, restricted cash, advertising fund assets, investments in marketable securities, deferred financing costs, certain long-lived assets and deferred income taxes.</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summarizes the Company’s goodwill balance as of December 28, 2008 and January 3, 2010: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804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2009</w:t>
            </w:r>
          </w:p>
        </w:tc>
      </w:tr>
      <w:tr>
        <w:trPr>
          <w:trHeight w:val="110"/>
        </w:trPr>
        <w:tc>
          <w:tcPr>
            <w:tcW w:w="80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102"/>
        </w:trPr>
        <w:tc>
          <w:tcPr>
            <w:tcW w:w="8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Stores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$16,608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r>
      <w:tr>
        <w:trPr>
          <w:trHeight w:val="22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Domestic Supply Chain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96"/>
        </w:trPr>
        <w:tc>
          <w:tcPr>
            <w:tcW w:w="80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102"/>
        </w:trPr>
        <w:tc>
          <w:tcPr>
            <w:tcW w:w="8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goodwill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$17,675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r>
      <w:tr>
        <w:trPr>
          <w:trHeight w:val="132"/>
        </w:trPr>
        <w:tc>
          <w:tcPr>
            <w:tcW w:w="80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2" w:lineRule="exact"/>
        <w:rPr>
          <w:sz w:val="20"/>
          <w:szCs w:val="20"/>
          <w:color w:val="auto"/>
        </w:rPr>
      </w:pPr>
    </w:p>
    <w:p>
      <w:pPr>
        <w:ind w:left="1140" w:hanging="204"/>
        <w:spacing w:after="0" w:line="262" w:lineRule="auto"/>
        <w:rPr>
          <w:sz w:val="20"/>
          <w:szCs w:val="20"/>
          <w:color w:val="auto"/>
        </w:rPr>
      </w:pPr>
      <w:r>
        <w:rPr>
          <w:rFonts w:ascii="Times New Roman" w:cs="Times New Roman" w:eastAsia="Times New Roman" w:hAnsi="Times New Roman"/>
          <w:sz w:val="18"/>
          <w:szCs w:val="18"/>
          <w:color w:val="auto"/>
        </w:rPr>
        <w:t>In connection with the sale of 82 Company-owned stores in 2008, goodwill was reduced by approximately $3.1 million. In connection with the closure of 21 Company-owned stores in 2009, goodwill was reduced by approximately $0.3 million. The acquisition of Company-owned stores from franchisees in 2009 resulted in an increase in goodwill of approximately $0.2 million.</w:t>
      </w:r>
    </w:p>
    <w:p>
      <w:pPr>
        <w:sectPr>
          <w:pgSz w:w="11900" w:h="16838" w:orient="portrait"/>
          <w:cols w:equalWidth="0" w:num="1">
            <w:col w:w="11220"/>
          </w:cols>
          <w:pgMar w:left="240" w:top="455"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240" w:top="455" w:right="4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SALE AND CLOSURE OF COMPANY-OWNED STORES</w:t>
      </w:r>
    </w:p>
    <w:p>
      <w:pPr>
        <w:spacing w:after="0" w:line="171" w:lineRule="exact"/>
        <w:rPr>
          <w:sz w:val="20"/>
          <w:szCs w:val="20"/>
          <w:color w:val="auto"/>
        </w:rPr>
      </w:pPr>
    </w:p>
    <w:p>
      <w:pPr>
        <w:ind w:left="1140" w:hanging="204"/>
        <w:spacing w:after="0" w:line="256" w:lineRule="auto"/>
        <w:rPr>
          <w:sz w:val="20"/>
          <w:szCs w:val="20"/>
          <w:color w:val="auto"/>
        </w:rPr>
      </w:pPr>
      <w:r>
        <w:rPr>
          <w:rFonts w:ascii="Times New Roman" w:cs="Times New Roman" w:eastAsia="Times New Roman" w:hAnsi="Times New Roman"/>
          <w:sz w:val="18"/>
          <w:szCs w:val="18"/>
          <w:color w:val="auto"/>
        </w:rPr>
        <w:t>During the first quarter of 2008, the Company announced it had agreements in place to sell certain Company-owned stores in California and Georgia in a series of transactions primarily with current franchisees. The Company completed the sale of all 63 of these stores during 2008. Separately, during the fourth quarter of 2008, the Company sold an additional 19 of its Company-owned stores in other states. In connection with the sale of these 82 stores, the Company recognized a pre-tax gain on the sale of the related assets of approximately $14.2 million, which was net of a reduction in goodwill of approximately $3.1 million. The gains were included in general and administrative expenses.</w:t>
      </w:r>
    </w:p>
    <w:p>
      <w:pPr>
        <w:spacing w:after="0" w:line="139" w:lineRule="exact"/>
        <w:rPr>
          <w:sz w:val="20"/>
          <w:szCs w:val="20"/>
          <w:color w:val="auto"/>
        </w:rPr>
      </w:pPr>
    </w:p>
    <w:p>
      <w:pPr>
        <w:jc w:val="both"/>
        <w:ind w:left="1140" w:right="100" w:hanging="204"/>
        <w:spacing w:after="0" w:line="310" w:lineRule="auto"/>
        <w:rPr>
          <w:sz w:val="20"/>
          <w:szCs w:val="20"/>
          <w:color w:val="auto"/>
        </w:rPr>
      </w:pPr>
      <w:r>
        <w:rPr>
          <w:rFonts w:ascii="Times New Roman" w:cs="Times New Roman" w:eastAsia="Times New Roman" w:hAnsi="Times New Roman"/>
          <w:sz w:val="16"/>
          <w:szCs w:val="16"/>
          <w:color w:val="auto"/>
        </w:rPr>
        <w:t>During 2009, the Company closed 21 Company-owned stores, including 14 in the fourth quarter of 2009 in connection with a store rationalization plan. In connection with the closure of these 21 stores, the Company recognized a pre-tax loss on the closure of the stores of approximately $2.2 million, which includes a reduction in goodwill of approximately $0.3 million. The losses were included in general and administrative expenses.</w:t>
      </w:r>
    </w:p>
    <w:p>
      <w:pPr>
        <w:spacing w:after="0" w:line="1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PERIODIC FINANCIAL DATA (UNAUDITED; IN THOUSANDS, EXCEPT PER SHARE AMOUNTS)</w:t>
      </w:r>
    </w:p>
    <w:p>
      <w:pPr>
        <w:spacing w:after="0" w:line="171" w:lineRule="exact"/>
        <w:rPr>
          <w:sz w:val="20"/>
          <w:szCs w:val="20"/>
          <w:color w:val="auto"/>
        </w:rPr>
      </w:pPr>
    </w:p>
    <w:p>
      <w:pPr>
        <w:ind w:left="1140" w:right="100" w:hanging="204"/>
        <w:spacing w:after="0" w:line="262" w:lineRule="auto"/>
        <w:rPr>
          <w:sz w:val="20"/>
          <w:szCs w:val="20"/>
          <w:color w:val="auto"/>
        </w:rPr>
      </w:pPr>
      <w:r>
        <w:rPr>
          <w:rFonts w:ascii="Times New Roman" w:cs="Times New Roman" w:eastAsia="Times New Roman" w:hAnsi="Times New Roman"/>
          <w:sz w:val="18"/>
          <w:szCs w:val="18"/>
          <w:color w:val="auto"/>
        </w:rPr>
        <w:t>The Company’s convention with respect to reporting periodic financial data is such that each of the first three fiscal quarters consists of twelve weeks while the last fiscal quarter consists of sixteen weeks or seventeen weeks. The fourth quarter of 2008 is comprised of sixteen weeks while the fourth quarter of 2009 is comprised of seventeen weeks.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For the Fiscal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For the Fiscal Quarter Ended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4"/>
              </w:rPr>
              <w:t>March 23,</w:t>
            </w:r>
          </w:p>
        </w:tc>
        <w:tc>
          <w:tcPr>
            <w:tcW w:w="440" w:type="dxa"/>
            <w:vAlign w:val="bottom"/>
          </w:tcPr>
          <w:p>
            <w:pPr>
              <w:spacing w:after="0"/>
              <w:rPr>
                <w:sz w:val="24"/>
                <w:szCs w:val="24"/>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w:t>
            </w:r>
          </w:p>
        </w:tc>
        <w:tc>
          <w:tcPr>
            <w:tcW w:w="2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7,</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December 28,</w:t>
            </w:r>
          </w:p>
        </w:tc>
        <w:tc>
          <w:tcPr>
            <w:tcW w:w="4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December 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2008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2008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339,012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334,347</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323,588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428,167</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108,747</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363,261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53,971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dividends declared per share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color w:val="auto"/>
                <w:w w:val="97"/>
              </w:rPr>
              <w:t>DOMINO’S PIZZA, INC. AND SUBSIDIARIES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gridSpan w:val="8"/>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40" w:type="dxa"/>
            <w:vAlign w:val="bottom"/>
            <w:gridSpan w:val="14"/>
          </w:tcPr>
          <w:p>
            <w:pPr>
              <w:jc w:val="center"/>
              <w:ind w:right="780"/>
              <w:spacing w:after="0"/>
              <w:rPr>
                <w:sz w:val="20"/>
                <w:szCs w:val="20"/>
                <w:color w:val="auto"/>
              </w:rPr>
            </w:pPr>
            <w:r>
              <w:rPr>
                <w:rFonts w:ascii="Times New Roman" w:cs="Times New Roman" w:eastAsia="Times New Roman" w:hAnsi="Times New Roman"/>
                <w:sz w:val="18"/>
                <w:szCs w:val="18"/>
                <w:color w:val="auto"/>
                <w:w w:val="96"/>
              </w:rPr>
              <w:t>NOTES TO CONSOLIDATED FINANCIAL STATEMENTS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4"/>
          </w:tcPr>
          <w:p>
            <w:pPr>
              <w:jc w:val="center"/>
              <w:ind w:left="1072"/>
              <w:spacing w:after="0"/>
              <w:rPr>
                <w:sz w:val="20"/>
                <w:szCs w:val="20"/>
                <w:color w:val="auto"/>
              </w:rPr>
            </w:pPr>
            <w:r>
              <w:rPr>
                <w:rFonts w:ascii="Times New Roman" w:cs="Times New Roman" w:eastAsia="Times New Roman" w:hAnsi="Times New Roman"/>
                <w:sz w:val="18"/>
                <w:szCs w:val="18"/>
                <w:color w:val="auto"/>
                <w:w w:val="98"/>
              </w:rPr>
              <w:t>(Continued)</w:t>
            </w: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For the Fiscal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For the Fiscal Quarter Ended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5"/>
              </w:rPr>
              <w:t>Year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22,</w:t>
            </w:r>
          </w:p>
        </w:tc>
        <w:tc>
          <w:tcPr>
            <w:tcW w:w="20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June 14,</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6,</w:t>
            </w:r>
          </w:p>
        </w:tc>
        <w:tc>
          <w:tcPr>
            <w:tcW w:w="1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January 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316,632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302,715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462,882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83,151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129,049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386,976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23,618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5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5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24"/>
                <w:szCs w:val="24"/>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dividends declared per share</w:t>
            </w:r>
          </w:p>
        </w:tc>
        <w:tc>
          <w:tcPr>
            <w:tcW w:w="15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76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71"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6"/>
          <w:szCs w:val="16"/>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1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Management’s Annual Report on Internal Control over Financial Reporting.</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the Company’s management, including its Chief Executive Officer and Chief Financial Officer, the Company conducted an evaluation of the effectiveness of its internal control over financial reporting as of January 3, 2010 based on the framework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Based on that evaluation, management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its internal control over financial reporting was effective as of January 3, 2010.</w:t>
      </w:r>
    </w:p>
    <w:p>
      <w:pPr>
        <w:spacing w:after="0" w:line="136"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January 3, 2010, has been audited by PricewaterhouseCoopers LLP, an independent registered public accounting firm, as stated in their report which appears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25, 2010, the Company entered into an amendment to the amended and restated employment agreement (the “Amendment”) with David A. Brandon relating to Mr. Brandon retiring as Chief Executive Officer of the Company on March 7, 2010 and commencing service as Special Advisor to the Chief Executive Officer through January 10, 2011. Under the Amendment, Mr. Brandon will receive a pro rata portion of his 2010 annual performance incentive for the period ending March 31, 2010 to the extent the Company achieves the 2010 annual performance target. Under the Amendment, Mr. Brandon will receive a monthly salary of $25,000 beginning April 1, 2010 and continuing for the term of the Amendment. Additionally, Mr. Brandon will receive an annual allotment of 35 hours of personal use of the Company’s corporate aircraft through the end of 2011. Separate from the Amendment, Mr. Brandon will continue to serve as a director for the remainder of his elected term and as Chairman of the Board of Directors.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on February 25, 2010, the Company entered into an agreement (the “Doyle Agreement”) with J. Patrick Doyle relating to Mr. Doyle becoming the Company’s President and Chief Executive Officer on March 8, 2010. The Doyle Agreement has a three-year term and provides that Mr. Doyle will receive a base salary of $750,000 per year and will be eligible to receive an annual incentive bonus of up to 200% of his base salary in a performance bonus dependent upon the Company’s achievement of targeted financial goals. Pursuant to the employment agreement, if Mr. Doyle is terminated by Domino’s without cause, he is entitled to a severance package of his existing salary for twenty-four months following termination.</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Doyle Agreement provides that Mr. Doyle is entitled to thirty-five hours annually of personal use of the Company’s aircraft (the “Personal Use”). The Company shall also provide additional payments to Mr. Doyle for any taxes that are incurred by Mr. Doyle for such Personal Use. The Company has entered into a Time Sharing Agreement with Mr. Doyle relating to the Company’s aircraft to incorporate the Personal Use provided for in the Doyle Agreement.</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Separately, on February 25, 2010 Mr. Doyle received, as approved by the Board of Directors, (i) a stock option grant of 250,000 shares with a three-year graded vesting period and a ten-year life with a grant price equal to the closing price of the common stock of Domino’s Pizza, Inc. on February 25, 2010 and (ii) a performance share grant of 75,000 shares with a three-year graded vesting period.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455" w:right="2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of the Registrants.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 and directors.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Age</w:t>
            </w:r>
          </w:p>
        </w:tc>
        <w:tc>
          <w:tcPr>
            <w:tcW w:w="8160" w:type="dxa"/>
            <w:vAlign w:val="bottom"/>
            <w:tcBorders>
              <w:top w:val="single" w:sz="8" w:color="auto"/>
              <w:bottom w:val="single" w:sz="8" w:color="auto"/>
            </w:tcBorders>
          </w:tcPr>
          <w:p>
            <w:pPr>
              <w:ind w:left="3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David A. Brandon</w:t>
            </w:r>
          </w:p>
        </w:tc>
        <w:tc>
          <w:tcPr>
            <w:tcW w:w="840" w:type="dxa"/>
            <w:vAlign w:val="bottom"/>
          </w:tcPr>
          <w:p>
            <w:pPr>
              <w:jc w:val="right"/>
              <w:ind w:right="13"/>
              <w:spacing w:after="0" w:line="195" w:lineRule="exact"/>
              <w:rPr>
                <w:sz w:val="20"/>
                <w:szCs w:val="20"/>
                <w:color w:val="auto"/>
              </w:rPr>
            </w:pPr>
            <w:r>
              <w:rPr>
                <w:rFonts w:ascii="Times New Roman" w:cs="Times New Roman" w:eastAsia="Times New Roman" w:hAnsi="Times New Roman"/>
                <w:sz w:val="18"/>
                <w:szCs w:val="18"/>
                <w:color w:val="auto"/>
              </w:rPr>
              <w:t>57</w:t>
            </w:r>
          </w:p>
        </w:tc>
        <w:tc>
          <w:tcPr>
            <w:tcW w:w="81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Patrick Doyle</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Domino’s U.S.A. and Director</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Wendy A. Beck</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Executive Vice President of Finance</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R. Hinshaw</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Franchise Operations and Development</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Lawton</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of International</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M. Liddle</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of Communications and Investor Relations</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K. McGlothlin</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Information Officer</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David Mounts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Supply Chain Services</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B. Rollin</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 M. Sheikh</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Team U.S.A.</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 Stansik</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of Franchise Relations</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J. Weiner</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Marketing Officer, Executive Vice President of Build the Brand</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A. Wilmot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of PeopleFirst</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 Balson</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F. Cantor</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Vernon “Bud” O. Hamilton</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E. Nunnelly</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Robert M. Rosenberg</w:t>
            </w: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8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A. Brandon </w:t>
      </w:r>
      <w:r>
        <w:rPr>
          <w:rFonts w:ascii="Times New Roman" w:cs="Times New Roman" w:eastAsia="Times New Roman" w:hAnsi="Times New Roman"/>
          <w:sz w:val="18"/>
          <w:szCs w:val="18"/>
          <w:color w:val="auto"/>
        </w:rPr>
        <w:t>has served as our Chairman of the Board of Directors and Chief Executive Officer since March 1999. Mr. Brandon has also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Chief Executive Officer and as a Manager of Domino’s Pizza LLC since March 1999. In January 2010, Mr. Brandon announced his plan to resign from his position as Chief Executive Officer, effective March 7, 2010. Mr. Brandon will be retained by the Company as a Special Advisor for the balance of 2010 and will remain Chairman of the Company’s Board of Directors. Mr. Brandon was President and Chief Executive Officer of Valassis, Inc., a company in the sales promotion and coupon industries, from 1989 to 1998 and Chairman of the board of directors of Valassis, Inc. from 1997 to 1998. Mr. Brandon serves on the Boards of Directors of The TJX Companies, Inc., Burger King Corporation and Kaydon Corporation. Mr. Brandon also previously served on the Board of Directors of Northwest Airlines.</w:t>
      </w:r>
    </w:p>
    <w:p>
      <w:pPr>
        <w:spacing w:after="0" w:line="13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Patrick Doyle </w:t>
      </w:r>
      <w:r>
        <w:rPr>
          <w:rFonts w:ascii="Times New Roman" w:cs="Times New Roman" w:eastAsia="Times New Roman" w:hAnsi="Times New Roman"/>
          <w:sz w:val="18"/>
          <w:szCs w:val="18"/>
          <w:color w:val="auto"/>
        </w:rPr>
        <w:t>has served as President, Domino’s U.S.A. since September 2007. In February 2010, Mr. Doyle was appointed to the Board of Directors,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and was named President and Chief Executive Officer, effective March 8, 2010. Mr. Doyle served as our Executive Vice President, Team U.S.A. from 2004 to 2007, Executive Vice President of International from May 1999 to October 2004 and as interim Executive Vice President of Build the Brand from December 2000 to July 2001. Mr. Doyle served as Senior Vice President of Marketing from the time he joined Domino’s in 1997 until May 1999. Mr. Doyle serves on the Board of Directors of G&amp;K Services, Inc.</w:t>
      </w:r>
    </w:p>
    <w:p>
      <w:pPr>
        <w:spacing w:after="0" w:line="134"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Wendy A. Beck </w:t>
      </w:r>
      <w:r>
        <w:rPr>
          <w:rFonts w:ascii="Times New Roman" w:cs="Times New Roman" w:eastAsia="Times New Roman" w:hAnsi="Times New Roman"/>
          <w:sz w:val="16"/>
          <w:szCs w:val="16"/>
          <w:color w:val="auto"/>
        </w:rPr>
        <w:t>has served as our Chief Financial Officer and Executive Vice President of Finance since April 2008. Ms. Beck served as Chief Financial Officer,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prior to that, Chief Accounting Officer of Whataburger Restaurants from 2001 to 2008. From 1993 to 2001, Ms. Beck held various finance positions at Checkers Drive-In Restaurants where she last served as Chief Financial Officer. Ms. Beck serves on the Board of Directors of the Women’s FoodService Forum.</w:t>
      </w:r>
    </w:p>
    <w:p>
      <w:pPr>
        <w:spacing w:after="0" w:line="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R. Hinshaw </w:t>
      </w:r>
      <w:r>
        <w:rPr>
          <w:rFonts w:ascii="Times New Roman" w:cs="Times New Roman" w:eastAsia="Times New Roman" w:hAnsi="Times New Roman"/>
          <w:sz w:val="18"/>
          <w:szCs w:val="18"/>
          <w:color w:val="auto"/>
        </w:rPr>
        <w:t>has served as our Executive Vice President, Franchise Operations and Development since January 2008. Mr. Hinshaw served as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Team U.S.A. from September 2007 to January 2008. Mr. Hinshaw also served as a Vice President within Team U.S.A. from 1994 through September 2007. Mr. Hinshaw joined Domino’s in 1986.</w:t>
      </w:r>
    </w:p>
    <w:p>
      <w:pPr>
        <w:spacing w:after="0" w:line="125"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T. Lawton </w:t>
      </w:r>
      <w:r>
        <w:rPr>
          <w:rFonts w:ascii="Times New Roman" w:cs="Times New Roman" w:eastAsia="Times New Roman" w:hAnsi="Times New Roman"/>
          <w:sz w:val="18"/>
          <w:szCs w:val="18"/>
          <w:color w:val="auto"/>
        </w:rPr>
        <w:t>has served as our Executive Vice President of International since October 2004. Mr. Lawton served as Senior Vice President Finance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of International from June 1999 to October 2004.</w:t>
      </w:r>
    </w:p>
    <w:p>
      <w:pPr>
        <w:spacing w:after="0" w:line="11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 M. Liddle </w:t>
      </w:r>
      <w:r>
        <w:rPr>
          <w:rFonts w:ascii="Times New Roman" w:cs="Times New Roman" w:eastAsia="Times New Roman" w:hAnsi="Times New Roman"/>
          <w:sz w:val="18"/>
          <w:szCs w:val="18"/>
          <w:color w:val="auto"/>
        </w:rPr>
        <w:t>has served as Executive Vice President of Communications and Investor Relations since November 2002. Ms. Liddle served 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Relations and Communications Center, for Valassis, Inc. from 1992 to November 2002.</w:t>
      </w:r>
    </w:p>
    <w:p>
      <w:pPr>
        <w:spacing w:after="0" w:line="11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K. McGlothlin </w:t>
      </w:r>
      <w:r>
        <w:rPr>
          <w:rFonts w:ascii="Times New Roman" w:cs="Times New Roman" w:eastAsia="Times New Roman" w:hAnsi="Times New Roman"/>
          <w:sz w:val="18"/>
          <w:szCs w:val="18"/>
          <w:color w:val="auto"/>
        </w:rPr>
        <w:t>has served as Executive Vice President and Chief Information Officer since February 2006. Mr. McGlothlin served in various roles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YUM! Brands, Inc. since 1995, most recently as VP, Restaurant Technology.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 David Mounts </w:t>
      </w:r>
      <w:r>
        <w:rPr>
          <w:rFonts w:ascii="Times New Roman" w:cs="Times New Roman" w:eastAsia="Times New Roman" w:hAnsi="Times New Roman"/>
          <w:sz w:val="18"/>
          <w:szCs w:val="18"/>
          <w:color w:val="auto"/>
        </w:rPr>
        <w:t>has served as our Executive Vice President, Supply Chain Services since October 2007. Mr. Mounts served as our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of Finance from November 2005 to September 2007. From 2004 to 2005 Mr. Mounts was Corporate Controller of U.S. Operations for UPS, from 2002 to 2004, he served as Chief Financial Officer for UPS Supply Chain Solutions Group and from 1999 to 2002 he was Vice President, Mergers and Acquisitions for UPS.</w:t>
      </w:r>
    </w:p>
    <w:p>
      <w:pPr>
        <w:spacing w:after="0" w:line="1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B. Rollin </w:t>
      </w:r>
      <w:r>
        <w:rPr>
          <w:rFonts w:ascii="Times New Roman" w:cs="Times New Roman" w:eastAsia="Times New Roman" w:hAnsi="Times New Roman"/>
          <w:sz w:val="18"/>
          <w:szCs w:val="18"/>
          <w:color w:val="auto"/>
        </w:rPr>
        <w:t>has served as Executive Vice President, General Counsel since January 2008. From June 2000 through 2007, Mr. Rollin was employed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AutoNation, Inc. where he last served as Vice President and Deputy General Counsel. From 1996 to June 2000, Mr. Rollin was employed by Walgreen Co. where he last served as a Senior Attorney in charge of litigation. Prior to 1996, Mr. Rollin was in private practice.</w:t>
      </w:r>
    </w:p>
    <w:p>
      <w:pPr>
        <w:spacing w:after="0" w:line="12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Asi M. Sheikh </w:t>
      </w:r>
      <w:r>
        <w:rPr>
          <w:rFonts w:ascii="Times New Roman" w:cs="Times New Roman" w:eastAsia="Times New Roman" w:hAnsi="Times New Roman"/>
          <w:sz w:val="18"/>
          <w:szCs w:val="18"/>
          <w:color w:val="auto"/>
        </w:rPr>
        <w:t>has served as Executive Vice President, Team U.S.A. since January 2008. Mr. Sheikh has held numerous positions with Domino’s since joining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1994, most recently as Director-Corporate Operations for the New York and New Jersey areas since October 1996.</w:t>
      </w:r>
    </w:p>
    <w:p>
      <w:pPr>
        <w:spacing w:after="0" w:line="11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G. Stansik </w:t>
      </w:r>
      <w:r>
        <w:rPr>
          <w:rFonts w:ascii="Times New Roman" w:cs="Times New Roman" w:eastAsia="Times New Roman" w:hAnsi="Times New Roman"/>
          <w:sz w:val="18"/>
          <w:szCs w:val="18"/>
          <w:color w:val="auto"/>
        </w:rPr>
        <w:t>has served our Executive Vice President of Franchise Relations since January 2008. Mr. Stansik served as our Executive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 Development from July 2006 through January 2008. Mr. Stansik served as our Executive Vice President of Flawless Execution – Franchise Operations from December 2003 to July 2006. Mr. Stansik served as Special Assistant to the Chief Executive Officer from August 1999 through December 2003 and also served as interim Executive Vice President of Flawless Execution – Corporate Operations of Domino’s from July 2000 through January 2001. Mr. Stansik joined Domino’s in 1985.</w:t>
      </w:r>
    </w:p>
    <w:p>
      <w:pPr>
        <w:spacing w:after="0" w:line="13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J. Weiner </w:t>
      </w:r>
      <w:r>
        <w:rPr>
          <w:rFonts w:ascii="Times New Roman" w:cs="Times New Roman" w:eastAsia="Times New Roman" w:hAnsi="Times New Roman"/>
          <w:sz w:val="18"/>
          <w:szCs w:val="18"/>
          <w:color w:val="auto"/>
        </w:rPr>
        <w:t>has served as our Executive Vice President of Build the Brand and Chief Marketing Officer, since September 2008. Mr. Weiner held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positions at Pepsi from 1998 to 2008, most recently serving as Vice President of Marketing, Colas for Pepsi-Cola North America.</w:t>
      </w:r>
    </w:p>
    <w:p>
      <w:pPr>
        <w:spacing w:after="0" w:line="11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Patricia A. Wilmot </w:t>
      </w:r>
      <w:r>
        <w:rPr>
          <w:rFonts w:ascii="Times New Roman" w:cs="Times New Roman" w:eastAsia="Times New Roman" w:hAnsi="Times New Roman"/>
          <w:sz w:val="18"/>
          <w:szCs w:val="18"/>
          <w:color w:val="auto"/>
        </w:rPr>
        <w:t>has served as our Executive Vice President of PeopleFirst since July 2000. Ms. Wilmot was a human resources consultant from May 1999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2000. Ms. Wilmot served as Vice President, Human Resources for Brach &amp; Brock Confections from January 1998 to May 1999.</w:t>
      </w:r>
    </w:p>
    <w:p>
      <w:pPr>
        <w:spacing w:after="0" w:line="111"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B. Balson </w:t>
      </w:r>
      <w:r>
        <w:rPr>
          <w:rFonts w:ascii="Times New Roman" w:cs="Times New Roman" w:eastAsia="Times New Roman" w:hAnsi="Times New Roman"/>
          <w:sz w:val="18"/>
          <w:szCs w:val="18"/>
          <w:color w:val="auto"/>
        </w:rPr>
        <w:t>has served on our Board of Directors since March 1999, serves on the Nominating and Corporate Governance Committee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also serves on the Compensation Committee of the Board of Directors. Mr. Balson has been a Managing Director of Bain Capital, a global investment company, since January 2001. Mr. Balson became a Principal of Bain Capital in June 1998. Mr. Balson serves on the Boards of Directors of OSIRestaurant Partners, Inc. and Dunkin’ Brands, Inc. as well as a number of other private companies. Mr. Balson also previously served on the Boards of Directors of Burger King Corporation and UGS Corp.</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Diana F. Cantor </w:t>
      </w:r>
      <w:r>
        <w:rPr>
          <w:rFonts w:ascii="Times New Roman" w:cs="Times New Roman" w:eastAsia="Times New Roman" w:hAnsi="Times New Roman"/>
          <w:sz w:val="18"/>
          <w:szCs w:val="18"/>
          <w:color w:val="auto"/>
        </w:rPr>
        <w:t>has served on our Board of Directors since October 2005, serves as the Chairman of the Audit Committee of the Board of Directors and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on the Nominating and Corporate Governance Committee of the Board of Directors. Ms. Cantor joined Alternative Investment Management, LLC as a Partner in January 2010. Ms. Cantor was a Managing Director with New York Private Bank and Trust from January 2008 through the end of 2009. Ms. Cantor served as Executive Director of the Virginia College Savings Plan, the state’s 529 college savings program, from 1996 to January 2008. Ms. Cantor served seven years as Vice President of Richmond Resources, Ltd. from 1990 through 1996, and as Vice President of Goldman, Sachs &amp; Co. from 1985 to 1990. Ms. Cantor is also a member of the Board of Directors of Media General, Inc.</w:t>
      </w:r>
    </w:p>
    <w:p>
      <w:pPr>
        <w:spacing w:after="0" w:line="134"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Vernon “Bud” O. Hamilton </w:t>
      </w:r>
      <w:r>
        <w:rPr>
          <w:rFonts w:ascii="Times New Roman" w:cs="Times New Roman" w:eastAsia="Times New Roman" w:hAnsi="Times New Roman"/>
          <w:sz w:val="16"/>
          <w:szCs w:val="16"/>
          <w:color w:val="auto"/>
        </w:rPr>
        <w:t>has served on our Board of Directors since May 2005, serves as the Chairman of the Nominating and Corporate Governance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of the Board of Directors and also serves on the Audit Committee. Mr. Hamilton served in various executive positions for Procter &amp; Gamble from 1966 through 2003. Mr. Hamilton most recently served as Vice President, Innovation-Research &amp; Development-Global from 2002 through 2003 and served as President of Eurocos, a wholly-owned subsidiary of Procter &amp; Gamble, from 1994 to 1995, Vice President of Procter &amp; Gamble Customer Marketing-North America from 1996 through 1998 and Vice President of Procter &amp; Gamble Customer Business Development-North America from 1999 to 2001.</w:t>
      </w:r>
    </w:p>
    <w:p>
      <w:pPr>
        <w:spacing w:after="0" w:line="10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E. Nunnelly </w:t>
      </w:r>
      <w:r>
        <w:rPr>
          <w:rFonts w:ascii="Times New Roman" w:cs="Times New Roman" w:eastAsia="Times New Roman" w:hAnsi="Times New Roman"/>
          <w:sz w:val="18"/>
          <w:szCs w:val="18"/>
          <w:color w:val="auto"/>
        </w:rPr>
        <w:t>has served on our Board of Directors since December 1998, and also serves on the Compensation Committee of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Nunnelly is a Managing Director of Bain Capital, a global investment company. Mr. Nunnelly serves on the Boards of Directors of Dunkin’ Brands, Inc., Warner Music and OSIRestaurant Partners, Inc., as well as a number of private companies and not-for-profit corporations. Mr. Nunnelly also previously served on the Boards of Directors of DoubleClick, Inc., Eschelon Telecom, Inc., Houghton-Mifflin Company and UGS Corp.</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M. Rosenberg </w:t>
      </w:r>
      <w:r>
        <w:rPr>
          <w:rFonts w:ascii="Times New Roman" w:cs="Times New Roman" w:eastAsia="Times New Roman" w:hAnsi="Times New Roman"/>
          <w:sz w:val="18"/>
          <w:szCs w:val="18"/>
          <w:color w:val="auto"/>
        </w:rPr>
        <w:t>has served on our Board of Directors since April 1999, serves as the Chairman of the Compensation Committee and also serves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of the Board of Directors. Mr. Rosenberg served as President and Chief Executive Officer of Allied Domecq Retailing, USA from 1993 to August 1999 when he retired. Allied Domecq Retailing, USA was comprised of Dunkin’ Donuts, Baskin-Robbins and Togo’s Eateries. Mr. Rosenberg also serves on the Board of Directors of Sonic Corp. Mr. Rosenberg also previously served on Buffets, Inc.</w:t>
      </w:r>
    </w:p>
    <w:p>
      <w:pPr>
        <w:spacing w:after="0" w:line="1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On February 25, 2010, Domino’s Pizza, Inc. appointed </w:t>
      </w:r>
      <w:r>
        <w:rPr>
          <w:rFonts w:ascii="Times New Roman" w:cs="Times New Roman" w:eastAsia="Times New Roman" w:hAnsi="Times New Roman"/>
          <w:sz w:val="18"/>
          <w:szCs w:val="18"/>
          <w:b w:val="1"/>
          <w:bCs w:val="1"/>
          <w:i w:val="1"/>
          <w:iCs w:val="1"/>
          <w:color w:val="auto"/>
        </w:rPr>
        <w:t>James A. Goldman</w:t>
      </w:r>
      <w:r>
        <w:rPr>
          <w:rFonts w:ascii="Times New Roman" w:cs="Times New Roman" w:eastAsia="Times New Roman" w:hAnsi="Times New Roman"/>
          <w:sz w:val="18"/>
          <w:szCs w:val="18"/>
          <w:color w:val="auto"/>
        </w:rPr>
        <w:t xml:space="preserve">, President and Chief Executive Officer of Godiva Chocolatier, Inc., and </w:t>
      </w:r>
      <w:r>
        <w:rPr>
          <w:rFonts w:ascii="Times New Roman" w:cs="Times New Roman" w:eastAsia="Times New Roman" w:hAnsi="Times New Roman"/>
          <w:sz w:val="18"/>
          <w:szCs w:val="18"/>
          <w:b w:val="1"/>
          <w:bCs w:val="1"/>
          <w:i w:val="1"/>
          <w:iCs w:val="1"/>
          <w:color w:val="auto"/>
        </w:rPr>
        <w:t>Gregory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Trojan</w:t>
      </w:r>
      <w:r>
        <w:rPr>
          <w:rFonts w:ascii="Times New Roman" w:cs="Times New Roman" w:eastAsia="Times New Roman" w:hAnsi="Times New Roman"/>
          <w:sz w:val="18"/>
          <w:szCs w:val="18"/>
          <w:color w:val="auto"/>
        </w:rPr>
        <w:t>, President and Chief Operating Officer of Guitar Center, Inc., to its Board of Directors, effective March 1, 2010. The remaining information required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item relating to their appointment is incorporated by reference from Domino’s Pizza, Inc.’s definitive proxy statement, which will be filed within 120 days of January 3, 2010.</w:t>
      </w:r>
    </w:p>
    <w:p>
      <w:pPr>
        <w:spacing w:after="0" w:line="13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from Domino’s Pizza, Inc.’s definitive proxy statement, which will be filed within 120 days of January 3, 2010.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3"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Information regarding executive compensation is incorporated by reference from Domino’s Pizza, Inc.’s definitive proxy statement, which will be filed within 120 days of January 3, 2010. However, no information set forth in the proxy statement regarding the Audit Committee Report shall be deemed incorporated by reference into this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3"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stockholders matters is incorporated by reference from Domino’s Pizza, Inc.’s definitive proxy statement, which will be filed within 120 days of January 3, 2010.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17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incorporated by reference from Domino’s Pizza, Inc.’s definitive proxy statement, which will be filed within 120 days of January 3, 2010.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by reference from Domino’s Pizza, Inc.’s definitive proxy statement, which will be filed within 120 days of January 3, 2010.</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 The following financial statements for Domino’s Pizza, Inc. and subsidiaries are included in Item 8, “Financial Statements and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Supplementary Data”:</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Balance Sheets as of December 28, 2008 and January 3, 2010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30, 2007, December 28, 2008 and January 3, 2010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30, 2007, December 28, 2008 and January 3, 2010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Statements of Stockholders’ Deficit for the Years Ended December 30, 2007, December 28, 2008 and January 3, 2010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30, 2007, December 28, 2008 and January 3, 2010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9"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6"/>
          <w:szCs w:val="16"/>
          <w:color w:val="auto"/>
        </w:rPr>
        <w:t>Financial Statement Schedules: The following financial statement schedules are attached to this report.</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Schedule I – Condensed Financial Information of the Registrant</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All other schedules are omitted because they are not applicable, not required, or the information is included in the financial statements or the notes thereto.</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220" w:hanging="276"/>
        <w:spacing w:after="0" w:line="26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3036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Form of Second Restated Certificate of Incorporation of Domino’s Pizza, Inc. (Incorporated by reference to Exhibit 3.1 to the Domino’s Pizza, Inc.</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statement on Form S-1 filed on April 13, 2004 (Reg. No. 333-114442), (the “S-1”)).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Amended and Restated By-Laws of Domino’s Pizza, Inc. (Incorporated by reference to Exhibit 3.2 to the S-1).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Agreement dated as of December 21, 1998 by and between Domino’s Farms Office Park Limited Partnership and Domino’s, Inc.</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(Incorporated by reference to Exhibit 10.3 to the Domino’s, Inc. registration statement on Form S-4 filed on March 22, 1999 (Reg. No. 333-74797)).</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dated February 7, 2000, to Lease Agreement dated December 21, 1998 by and between Domino’s Farms Office Park Limited</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Partnership and Domino’s Pizza, Inc. (Incorporated by reference to Exhibit 10.32 of the Domino’s, Inc. annual report on Form 10-K for the year</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ended December 31, 2000 (Reg. No. 333-74797)).</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First Amendment to a Lease Agreement between Domino’s Farms Office Park, L.L.C. and Domino’s Pizza LLC, dated as of August 8, 2002, by and</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between Domino’s Farms Office Park L.L.C. and Domino’s Pizza, LLC (Incorporated by reference to Exhibit 10.5 to the Domino’s, Inc. annual</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 on Form 10-K for the year ended December 29, 2002 (Reg. No. 333-74797)).</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Amendment to a Lease Agreement between Domino’s Farms Office Park, L.L.C. and Domino’s Pizza LLC, dated as of May 5, 2004</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10.34 to the S-1).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Amended and Restated Stockholders Agreement by and among Domino’s Pizza, Inc., Domino’s, Inc., Bain Capital Fund VI, L.P., Bain</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Capital VI Coinvestment Fund, L.P., BCIP, Bain Capital Pacific Fund I, L.P., Sankaty High Yield Asset Partners, L.P., Brookside Capital Partners</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Fund, L.P., RGIP, LLC, DP Investors I, LLC, DP Investors II, LLC, J.P. Morgan Capital Corporation, Sixty Wall Street Fund, L.P., DP Transitory</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Corporation, Thomas S. Monaghan, individually and in his capacity as trustee, and Marjorie Monaghan, individually and in her capacity as trustee,</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A. Brandon, Harry J. Silverman and Michael D. Soignet (Incorporated by reference to Exhibit 10.27 to the S-1).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Form of Amended and Restated Franchisee Stockholders Agreement by and among Domino’s Pizza, Inc., Bain Capital Fund VI, L.P., Bain Capital</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VI Coinvestment Fund, L.P., BCIP, PEP Investments PTY, Ltd., Sankaty High Yield Asset Partners, L.P., Brookside Capital Partners Fund, L.P. and</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franchisee stockholders of Domino’s Pizza, Inc. (Incorporated by reference to Exhibit 10.28 to the S-1).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Form of Amended and Restated Employee Stockholders Agreement by and among Domino’s Pizza, Inc., Bain Capital Fund VI, L.P., Bain Capital</w:t>
            </w:r>
          </w:p>
        </w:tc>
      </w:tr>
      <w:tr>
        <w:trPr>
          <w:trHeight w:val="216"/>
        </w:trPr>
        <w:tc>
          <w:tcPr>
            <w:tcW w:w="7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VI Coinvestment Fund, L.P., BCIP, PEP Investments PTY, Ltd., Sankaty High Yield Asset Partners, L.P., Brookside Capital Partners Fund, L.P. and</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employee stockholders identified therein (Incorporated by reference to Exhibit 10.29 to the S-1).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Domino’s Pizza, Inc. Deferred Compensation Plan adopted effective January 1, 2005 (Incorporated by reference to Exhibit 10.9 to the registrants’</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report on Form 10-K for the year ended January 1, 2006).</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First Amendment to the Domino’s Pizza Deferred Compensation Plan effective January 1, 2007 (Incorporated by reference to Exhibit 10.9 to the</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registrants’ annual report on Form 10-K for the year ended December 31, 2006, (the “2006 10-K”)).</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TISM, Inc. Fourth Amended and Restated Stock Option Plan (“TISM Option Plan”) (Incorporated by reference to Exhibit 10.6 to the Domino’s, Inc.</w:t>
            </w:r>
          </w:p>
        </w:tc>
      </w:tr>
      <w:tr>
        <w:trPr>
          <w:trHeight w:val="228"/>
        </w:trPr>
        <w:tc>
          <w:tcPr>
            <w:tcW w:w="7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report on Form 8-K filed on June 26, 2003 (Reg. No. 333-74797)).</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82</w:t>
            </w:r>
          </w:p>
        </w:tc>
      </w:tr>
    </w:tbl>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700" w:right="6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10.11*</w:t>
        <w:tab/>
        <w:t>Amended Domino’s Pizza, Inc. 2004 Equity Incentive Plan (Incorporated by reference to Exhibit 10.1 to the registrant’s quarterly report on Form 10-Q for the fiscal quarter ended March 22, 2009, (the “March 2009 10-Q”)).</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6"/>
          <w:szCs w:val="16"/>
          <w:color w:val="auto"/>
        </w:rPr>
        <w:t>Form of Employee Stock Option Agreement under the Amended Domino’s Pizza, Inc. 2004 Equity Incentive Plan (Incorporated by reference to Exhibit</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10.2 to the March 2009 10-Q).</w:t>
      </w:r>
    </w:p>
    <w:p>
      <w:pPr>
        <w:spacing w:after="0" w:line="10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6"/>
          <w:szCs w:val="16"/>
          <w:color w:val="auto"/>
        </w:rPr>
        <w:t>Form of Director Stock Option Agreement under the Amended Domino’s Pizza, Inc. 2004 Equity Incentive Plan (Incorporated by reference to Exhibit</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10.3 to the March 2009 10-Q).</w:t>
      </w:r>
    </w:p>
    <w:p>
      <w:pPr>
        <w:spacing w:after="0" w:line="10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6"/>
          <w:szCs w:val="16"/>
          <w:color w:val="auto"/>
        </w:rPr>
        <w:t>Form of Amendment to Existing Employee Stock Option Grants (Incorporated by reference to Exhibit 10.4 to the March 2009 10-Q).</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6"/>
          <w:szCs w:val="16"/>
          <w:color w:val="auto"/>
        </w:rPr>
        <w:t>Form of Amendment to Existing Director Stock Option Grants (Incorporated by reference to Exhibit 10.5 to the March 2009 10-Q).</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6"/>
          <w:szCs w:val="16"/>
          <w:color w:val="auto"/>
        </w:rPr>
        <w:t>Form of Non-Qualified Stock Option Agreement (Incorporated by reference to Exhibit 10.1 to the registrant’s current report on Form 8-K filed on July</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20, 2009, (the “July 2009 8-K”)).</w:t>
      </w:r>
    </w:p>
    <w:p>
      <w:pPr>
        <w:spacing w:after="0" w:line="10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6"/>
          <w:szCs w:val="16"/>
          <w:color w:val="auto"/>
        </w:rPr>
        <w:t>Form of Performance-Based Restricted Stock Agreement (Incorporated by reference to Exhibit 10.2 to the July 2009 8-K).</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6"/>
          <w:szCs w:val="16"/>
          <w:color w:val="auto"/>
        </w:rPr>
        <w:t>Form of Performance-Based Restricted Stock Unit Award Agreement (Incorporated by reference to Exhibit 10.3 to the July 2009 8-K).</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6"/>
          <w:szCs w:val="16"/>
          <w:color w:val="auto"/>
        </w:rPr>
        <w:t>Form of Domino’s Pizza, Inc. 2004 Equity Incentive Plan Restricted Stock Agreement for Directors.</w:t>
      </w:r>
    </w:p>
    <w:p>
      <w:pPr>
        <w:spacing w:after="0" w:line="117" w:lineRule="exact"/>
        <w:rPr>
          <w:sz w:val="20"/>
          <w:szCs w:val="20"/>
          <w:color w:val="auto"/>
        </w:rPr>
      </w:pPr>
    </w:p>
    <w:p>
      <w:pPr>
        <w:ind w:left="7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10.20*</w:t>
        <w:tab/>
        <w:t>Domino’s Pizza Senior Executive Annual Incentive Plan (Incorporated by reference to Exhibit 10.2 to the registrant’s quarterly report on Form 10-Q for the fiscal quarter ended June 18, 2006).</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Form of Domino’s Pizza, Inc. 2004 Employee Stock Purchase Plan (Incorporated by reference to Exhibit 10.31 to the S-1).</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10.22 *</w:t>
      </w:r>
      <w:r>
        <w:rPr>
          <w:sz w:val="20"/>
          <w:szCs w:val="20"/>
          <w:color w:val="auto"/>
        </w:rPr>
        <w:tab/>
      </w:r>
      <w:r>
        <w:rPr>
          <w:rFonts w:ascii="Times New Roman" w:cs="Times New Roman" w:eastAsia="Times New Roman" w:hAnsi="Times New Roman"/>
          <w:sz w:val="16"/>
          <w:szCs w:val="16"/>
          <w:color w:val="auto"/>
        </w:rPr>
        <w:t>Form of Domino’s Pizza, Inc. Dividend Reinvestment &amp; Direct Stock Purchase and Sale Plan (Incorporated by reference to Exhibit 10.32 to the S-1).</w:t>
      </w:r>
    </w:p>
    <w:p>
      <w:pPr>
        <w:spacing w:after="0" w:line="117" w:lineRule="exact"/>
        <w:rPr>
          <w:sz w:val="20"/>
          <w:szCs w:val="20"/>
          <w:color w:val="auto"/>
        </w:rPr>
      </w:pPr>
    </w:p>
    <w:p>
      <w:pPr>
        <w:ind w:left="700" w:right="2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10.23*</w:t>
        <w:tab/>
        <w:t>Amended and Restated Employment Agreement dated as of February 14, 2007 between Domino’s Pizza LLC and James G. Stansik (Incorporated by reference to Exhibit 10.20 to the 2006 10-K).</w:t>
      </w:r>
    </w:p>
    <w:p>
      <w:pPr>
        <w:spacing w:after="0" w:line="66" w:lineRule="exact"/>
        <w:rPr>
          <w:sz w:val="20"/>
          <w:szCs w:val="20"/>
          <w:color w:val="auto"/>
        </w:rPr>
      </w:pPr>
    </w:p>
    <w:p>
      <w:pPr>
        <w:ind w:left="700" w:right="100" w:hanging="688"/>
        <w:spacing w:after="0" w:line="262" w:lineRule="auto"/>
        <w:tabs>
          <w:tab w:leader="none" w:pos="680" w:val="left"/>
        </w:tabs>
        <w:rPr>
          <w:sz w:val="20"/>
          <w:szCs w:val="20"/>
          <w:color w:val="auto"/>
        </w:rPr>
      </w:pPr>
      <w:r>
        <w:rPr>
          <w:rFonts w:ascii="Times New Roman" w:cs="Times New Roman" w:eastAsia="Times New Roman" w:hAnsi="Times New Roman"/>
          <w:sz w:val="18"/>
          <w:szCs w:val="18"/>
          <w:color w:val="auto"/>
        </w:rPr>
        <w:t>10.24*</w:t>
        <w:tab/>
        <w:t>First Amendment to the Amended and Restated Employment agreement between Domino’s Pizza LLC and James G. Stansik effective February 25, 2008 (Incorporated by reference to Exhibit 10.20 to the registrant’s annual report on Form 10-K for the year ended December 30, 2007, (the “2007 10-K”)).</w:t>
      </w:r>
    </w:p>
    <w:p>
      <w:pPr>
        <w:spacing w:after="0" w:line="78" w:lineRule="exact"/>
        <w:rPr>
          <w:sz w:val="20"/>
          <w:szCs w:val="20"/>
          <w:color w:val="auto"/>
        </w:rPr>
      </w:pPr>
    </w:p>
    <w:p>
      <w:pPr>
        <w:ind w:left="700" w:right="120" w:hanging="688"/>
        <w:spacing w:after="0" w:line="339" w:lineRule="auto"/>
        <w:tabs>
          <w:tab w:leader="none" w:pos="68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6"/>
          <w:szCs w:val="16"/>
          <w:color w:val="auto"/>
        </w:rPr>
        <w:t>Amendment to the Amended and Restated Employment agreement dated as of February 14, 2007 between Domino’s Pizza LLC and James G. Stansik (Incorporated by reference to Exhibit 10.2 to the registrant’s current report on Form 8-K filed on December 24, 2008, (the “December 2008 8-K”)).</w:t>
      </w:r>
    </w:p>
    <w:p>
      <w:pPr>
        <w:spacing w:after="0" w:line="20" w:lineRule="exact"/>
        <w:rPr>
          <w:sz w:val="20"/>
          <w:szCs w:val="20"/>
          <w:color w:val="auto"/>
        </w:rPr>
      </w:pPr>
    </w:p>
    <w:p>
      <w:pPr>
        <w:ind w:left="700" w:right="2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10.26*</w:t>
        <w:tab/>
        <w:t>Amended and Restated Employment Agreement dated as of February 14, 2007 between Domino’s Pizza LLC and L. David Mounts (Incorporated by reference to Exhibit 10.21 to the 2006 10-K).</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6"/>
          <w:szCs w:val="16"/>
          <w:color w:val="auto"/>
        </w:rPr>
        <w:t>First Amendment to the Amended and Restated Employment agreement between Domino’s Pizza LLC and L. David Mounts effective as of February</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25, 2008 (Incorporated by reference to Exhibit 10.22 to the 2007 10-K).</w:t>
      </w:r>
    </w:p>
    <w:p>
      <w:pPr>
        <w:spacing w:after="0" w:line="105" w:lineRule="exact"/>
        <w:rPr>
          <w:sz w:val="20"/>
          <w:szCs w:val="20"/>
          <w:color w:val="auto"/>
        </w:rPr>
      </w:pPr>
    </w:p>
    <w:p>
      <w:pPr>
        <w:ind w:left="700" w:right="12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10.28*</w:t>
        <w:tab/>
        <w:t>Amendment to the Amended and Restated Employment agreement dated as of February 14, 2007 between Domino’s Pizza LLC and L. David Mounts (Incorporated by reference to Exhibit 10.6 to the December 2008 8-K).</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6"/>
          <w:szCs w:val="16"/>
          <w:color w:val="auto"/>
        </w:rPr>
        <w:t>Amended and Restated Employment Agreement dated as of December 3, 2007 between David A. Brandon and Domino’s Pizza, Inc., Domino’s, Inc.</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and Domino’s Pizza LLC (Incorporated by reference to Exhibit 10.01 to the registrant’s current report on Form 8-K filed on December 3, 2007).</w:t>
      </w:r>
    </w:p>
    <w:p>
      <w:pPr>
        <w:spacing w:after="0" w:line="105" w:lineRule="exact"/>
        <w:rPr>
          <w:sz w:val="20"/>
          <w:szCs w:val="20"/>
          <w:color w:val="auto"/>
        </w:rPr>
      </w:pPr>
    </w:p>
    <w:p>
      <w:pPr>
        <w:ind w:left="700" w:right="8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10.30*</w:t>
        <w:tab/>
        <w:t>Amended and Restated Time Sharing Agreement dated as of February 25, 2008 between Domino’s Pizza LLC and David A. Brandon (Incorporated by reference to Exhibit 10.25 to the 2007 10-K).</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700" w:right="4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10.31*</w:t>
        <w:tab/>
        <w:t>First Amendment to the Amended and Restated Employment agreement dated as of December 3, 2007 between David A. Brandon and Domino’s Pizza, Inc., Domino’s, Inc. and Domino’s Pizza LLC (Incorporated by reference to Exhibit 10.1 to the December 2008 8-K).</w:t>
      </w:r>
    </w:p>
    <w:p>
      <w:pPr>
        <w:spacing w:after="0" w:line="66" w:lineRule="exact"/>
        <w:rPr>
          <w:sz w:val="20"/>
          <w:szCs w:val="20"/>
          <w:color w:val="auto"/>
        </w:rPr>
      </w:pPr>
    </w:p>
    <w:p>
      <w:pPr>
        <w:ind w:left="7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10.32*</w:t>
        <w:tab/>
        <w:t>Form of Amended and Restated Stock Option Agreement of David A. Brandon under the TISM Option Plan (Incorporated by reference to Exhibit 10.23 to the registrant’s annual report on Form 10-K for the fiscal year ended January 2, 2005).</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6"/>
          <w:szCs w:val="16"/>
          <w:color w:val="auto"/>
        </w:rPr>
        <w:t>Amendment to Amended and Restated Employment Agreement dated as of February 25, 2010 between Domino’s Pizza LLC and David A. Brandon.</w:t>
      </w:r>
    </w:p>
    <w:p>
      <w:pPr>
        <w:spacing w:after="0" w:line="117" w:lineRule="exact"/>
        <w:rPr>
          <w:sz w:val="20"/>
          <w:szCs w:val="20"/>
          <w:color w:val="auto"/>
        </w:rPr>
      </w:pPr>
    </w:p>
    <w:p>
      <w:pPr>
        <w:ind w:left="700" w:right="4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10.34*</w:t>
        <w:tab/>
        <w:t>Employment Agreement dated as of April 28, 2008 between Domino’s Pizza LLC and Wendy A. Beck (Incorporated by reference to Exhibit 1.01 to the registrant’s current report on Form 8-K filed on April 30, 2008).</w:t>
      </w:r>
    </w:p>
    <w:p>
      <w:pPr>
        <w:spacing w:after="0" w:line="66" w:lineRule="exact"/>
        <w:rPr>
          <w:sz w:val="20"/>
          <w:szCs w:val="20"/>
          <w:color w:val="auto"/>
        </w:rPr>
      </w:pPr>
    </w:p>
    <w:p>
      <w:pPr>
        <w:ind w:left="700" w:right="10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10.35*</w:t>
        <w:tab/>
        <w:t>Amendment to the Employment agreement dated as of April 28, 2008 between Domino’s Pizza LLC and Wendy A. Beck (Incorporated by reference to Exhibit 10.5 to the December 2008 8-K).</w:t>
      </w:r>
    </w:p>
    <w:p>
      <w:pPr>
        <w:spacing w:after="0" w:line="66" w:lineRule="exact"/>
        <w:rPr>
          <w:sz w:val="20"/>
          <w:szCs w:val="20"/>
          <w:color w:val="auto"/>
        </w:rPr>
      </w:pPr>
    </w:p>
    <w:p>
      <w:pPr>
        <w:ind w:left="700" w:right="8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10.36*</w:t>
        <w:tab/>
        <w:t>Employment Agreement dated as of September 2, 2008 between Domino’s Pizza LLC and Russell J. Weiner (Incorporated by reference to Exhibit 1.01 to the registrant’s current report on Form 8-K filed on September 4, 2008).</w:t>
      </w:r>
    </w:p>
    <w:p>
      <w:pPr>
        <w:spacing w:after="0" w:line="66" w:lineRule="exact"/>
        <w:rPr>
          <w:sz w:val="20"/>
          <w:szCs w:val="20"/>
          <w:color w:val="auto"/>
        </w:rPr>
      </w:pPr>
    </w:p>
    <w:p>
      <w:pPr>
        <w:ind w:left="700" w:right="58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10.37*</w:t>
        <w:tab/>
        <w:t>Amendment to the Employment agreement dated as of September 2, 2008 between Domino’s Pizza LLC and Russell J. Weiner (Incorporated by reference to Exhibit 10.4 to the December 2008 8-K).</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6"/>
          <w:szCs w:val="16"/>
          <w:color w:val="auto"/>
        </w:rPr>
        <w:t>Employment Agreement dated as of February 14, 2007 between Domino’s Pizza LLC and Michael T. Lawton (Incorporated by reference to Exhibit</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10.44 of the registrant’s annual report on Form 10-K for the fiscal year ended December 28, 2008, (the “2008 10-K”)).</w:t>
      </w:r>
    </w:p>
    <w:p>
      <w:pPr>
        <w:spacing w:after="0" w:line="105" w:lineRule="exact"/>
        <w:rPr>
          <w:sz w:val="20"/>
          <w:szCs w:val="20"/>
          <w:color w:val="auto"/>
        </w:rPr>
      </w:pPr>
    </w:p>
    <w:p>
      <w:pPr>
        <w:ind w:left="700" w:right="44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10.39*</w:t>
        <w:tab/>
        <w:t>Amendment to the Employment agreement dated as of February 14, 2007 between Domino’s Pizza LLC and Michael T. Lawton. (Incorporated by reference to Exhibit 10.45 of the 2008 10-K).</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6"/>
          <w:szCs w:val="16"/>
          <w:color w:val="auto"/>
        </w:rPr>
        <w:t>Employment Agreement dated as of February 25, 2010 between Domino’s Pizza LLC and J. Patrick Doyle.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6"/>
          <w:szCs w:val="16"/>
          <w:color w:val="auto"/>
        </w:rPr>
        <w:t>Time Sharing Agreement dated as of February 25, 2010 between Domino’s Pizza LLC and J. Patrick Doyle.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6"/>
          <w:szCs w:val="16"/>
          <w:color w:val="auto"/>
        </w:rPr>
        <w:t>Form of Indemnification Agreement (Incorporated by reference to Exhibit 10.33 to the S-1).</w:t>
      </w:r>
    </w:p>
    <w:p>
      <w:pPr>
        <w:spacing w:after="0" w:line="117" w:lineRule="exact"/>
        <w:rPr>
          <w:sz w:val="20"/>
          <w:szCs w:val="20"/>
          <w:color w:val="auto"/>
        </w:rPr>
      </w:pPr>
    </w:p>
    <w:p>
      <w:pPr>
        <w:ind w:left="700" w:right="180"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8"/>
          <w:szCs w:val="18"/>
          <w:color w:val="auto"/>
        </w:rPr>
        <w:t>TISM, Inc. Class A-3 Stock Option Agreement with Dennis F. Hightower, dated as of February 25, 2003 (Incorporated by reference to Exhibit 10.1 to the Domino’s, Inc. quarterly report on Form 10-Q for the fiscal quarter ended March 23, 2003).</w:t>
      </w:r>
    </w:p>
    <w:p>
      <w:pPr>
        <w:spacing w:after="0" w:line="66" w:lineRule="exact"/>
        <w:rPr>
          <w:sz w:val="20"/>
          <w:szCs w:val="20"/>
          <w:color w:val="auto"/>
        </w:rPr>
      </w:pPr>
    </w:p>
    <w:p>
      <w:pPr>
        <w:ind w:left="700" w:right="12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8"/>
          <w:szCs w:val="18"/>
          <w:color w:val="auto"/>
        </w:rPr>
        <w:t>Base Indenture dated April 16, 2007 among Domino’s Pizza Master Issuer LLC, Domino’s Pizza Distribution LLC, Domino’s IP Holder LLC and Domino’s SPV Canadian Holding Company Inc., each as Co-Issuer , and Citibank, N.A., as Trustee and Securities Intermediary (Incorporated by reference to Exhibit 10.1 to the Domino’s Pizza, Inc. quarterly report on Form 10-Q for the fiscal quarter ended March 25, 2007, (the “March 2007 10-Q”)).</w:t>
      </w:r>
    </w:p>
    <w:p>
      <w:pPr>
        <w:spacing w:after="0" w:line="82" w:lineRule="exact"/>
        <w:rPr>
          <w:sz w:val="20"/>
          <w:szCs w:val="20"/>
          <w:color w:val="auto"/>
        </w:rPr>
      </w:pPr>
    </w:p>
    <w:p>
      <w:pPr>
        <w:ind w:left="700" w:right="8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8"/>
          <w:szCs w:val="18"/>
          <w:color w:val="auto"/>
        </w:rPr>
        <w:t>Supplemental Indenture dated April 16, 2007 among Domino’s Pizza Master Issuer LLC, Domino’s Pizza Distribution LLC, Domino’s IP Holder LLC and Domino’s SPV Canadian Holding Company Inc., each as a Co-Issuer of the 5.261% Fixed Rate Series 2007-1 Senior Notes, Class A-2, the 7.629% Fixed Rate Series 2007-1 Subordinated Notes, Class M-1 and the Series 2007-1 Variable Funding Senior Notes, Class A-1, and Citibank, N.A., as Trustee and Series 2007-1 Securities Intermediary (Incorporated by reference to Exhibit 10.2 to the March 2007 10-Q).</w:t>
      </w:r>
    </w:p>
    <w:p>
      <w:pPr>
        <w:spacing w:after="0" w:line="82" w:lineRule="exact"/>
        <w:rPr>
          <w:sz w:val="20"/>
          <w:szCs w:val="20"/>
          <w:color w:val="auto"/>
        </w:rPr>
      </w:pPr>
    </w:p>
    <w:p>
      <w:pPr>
        <w:ind w:left="700" w:hanging="688"/>
        <w:spacing w:after="0" w:line="258" w:lineRule="auto"/>
        <w:tabs>
          <w:tab w:leader="none" w:pos="680" w:val="left"/>
        </w:tabs>
        <w:rPr>
          <w:sz w:val="20"/>
          <w:szCs w:val="20"/>
          <w:color w:val="auto"/>
        </w:rPr>
      </w:pPr>
      <w:r>
        <w:rPr>
          <w:rFonts w:ascii="Times New Roman" w:cs="Times New Roman" w:eastAsia="Times New Roman" w:hAnsi="Times New Roman"/>
          <w:sz w:val="18"/>
          <w:szCs w:val="18"/>
          <w:color w:val="auto"/>
        </w:rPr>
        <w:t>10.46</w:t>
      </w:r>
      <w:r>
        <w:rPr>
          <w:sz w:val="20"/>
          <w:szCs w:val="20"/>
          <w:color w:val="auto"/>
        </w:rPr>
        <w:tab/>
      </w:r>
      <w:r>
        <w:rPr>
          <w:rFonts w:ascii="Times New Roman" w:cs="Times New Roman" w:eastAsia="Times New Roman" w:hAnsi="Times New Roman"/>
          <w:sz w:val="18"/>
          <w:szCs w:val="18"/>
          <w:color w:val="auto"/>
        </w:rPr>
        <w:t>Class A-1 Note Purchase Agreement dated April 16, 2007 among Domino’s Pizza Master Issuer LLC, Domino’s IP Holder LLC, Domino’s Pizza Distribution LLC and Domino’s SPV Canadian Holding Company Inc., each as a Co-Issuer, Domino’s Pizza LLC, as Master Servicer, certain conduit investors, certain financial institutions and funding agents, JPMorgan Chase Bank, N. A., as provider of letters of credit, and Lehman Commercial Paper Inc., as swingline lender and as Administrative Agent (Incorporated by reference to Exhibit 10.3 to the March 2007 10-Q).</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80" w:right="40" w:hanging="580"/>
        <w:spacing w:after="0" w:line="262" w:lineRule="auto"/>
        <w:tabs>
          <w:tab w:leader="none" w:pos="560" w:val="left"/>
        </w:tabs>
        <w:rPr>
          <w:sz w:val="20"/>
          <w:szCs w:val="20"/>
          <w:color w:val="auto"/>
        </w:rPr>
      </w:pPr>
      <w:r>
        <w:rPr>
          <w:rFonts w:ascii="Times New Roman" w:cs="Times New Roman" w:eastAsia="Times New Roman" w:hAnsi="Times New Roman"/>
          <w:sz w:val="18"/>
          <w:szCs w:val="18"/>
          <w:color w:val="auto"/>
        </w:rPr>
        <w:t>10.47</w:t>
        <w:tab/>
        <w:t>Guarantee and Collateral Agreement dated April 16, 2007 among Domino’s SPV Guarantor LLC, Domino’s Pizza Franchising LLC, Domino’s Pizza International Franchising Inc. and Domino’s Pizza Canadian Distribution ULC, each as a Guarantor, in favor of Citibank, N.A., as Trustee (Incorporated by reference to Exhibit 10.4 to the March 2007 10-Q).</w:t>
      </w:r>
    </w:p>
    <w:p>
      <w:pPr>
        <w:spacing w:after="0" w:line="78" w:lineRule="exact"/>
        <w:rPr>
          <w:sz w:val="20"/>
          <w:szCs w:val="20"/>
          <w:color w:val="auto"/>
        </w:rPr>
      </w:pPr>
    </w:p>
    <w:p>
      <w:pPr>
        <w:ind w:left="580" w:hanging="580"/>
        <w:spacing w:after="0" w:line="262" w:lineRule="auto"/>
        <w:tabs>
          <w:tab w:leader="none" w:pos="560" w:val="left"/>
        </w:tabs>
        <w:rPr>
          <w:sz w:val="20"/>
          <w:szCs w:val="20"/>
          <w:color w:val="auto"/>
        </w:rPr>
      </w:pPr>
      <w:r>
        <w:rPr>
          <w:rFonts w:ascii="Times New Roman" w:cs="Times New Roman" w:eastAsia="Times New Roman" w:hAnsi="Times New Roman"/>
          <w:sz w:val="18"/>
          <w:szCs w:val="18"/>
          <w:color w:val="auto"/>
        </w:rPr>
        <w:t>10.48</w:t>
        <w:tab/>
        <w:t>Master Servicing Agreement dated as of April 16, 2007 among Domino’s Pizza Master Issuer LLC, certain subsidiaries of Domino’s Pizza Master Issuer LLC party thereto, Domino’s Pizza LLC, as Master Servicer, Domino’s Pizza NS Co., as a Servicer, and Citibank, N.A. as Trustee (Incorporated by reference to Exhibit 10.5 to the March 2007 10-Q).</w:t>
      </w:r>
    </w:p>
    <w:p>
      <w:pPr>
        <w:spacing w:after="0" w:line="78" w:lineRule="exact"/>
        <w:rPr>
          <w:sz w:val="20"/>
          <w:szCs w:val="20"/>
          <w:color w:val="auto"/>
        </w:rPr>
      </w:pPr>
    </w:p>
    <w:p>
      <w:pPr>
        <w:ind w:left="580" w:right="100" w:hanging="580"/>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10.49</w:t>
        <w:tab/>
        <w:t>Insurance and Indemnity Agreement dated as of April 16, 2007 among MBIA Insurance Corporation and Ambac Assurance Corporation, as Insurers, Domino’s Pizza Master Issuer LLC, Domino’s Pizza Distribution LLC, Domino’s IP Holder LLC and Domino’s SPV Canadian Holding Company Inc., each as a Co-Issuer, Domino’s Pizza, Inc., Domino’s SPV Guarantor LLC and Domino’s Pizza International LLC, Domino’s Pizza LLC, as Master Servicer and Citibank, N.A., as Trustee (Incorporated by reference to Exhibit 10.6 to the March 2007 10-Q).</w:t>
      </w:r>
    </w:p>
    <w:p>
      <w:pPr>
        <w:spacing w:after="0" w:line="82" w:lineRule="exact"/>
        <w:rPr>
          <w:sz w:val="20"/>
          <w:szCs w:val="20"/>
          <w:color w:val="auto"/>
        </w:rPr>
      </w:pPr>
    </w:p>
    <w:p>
      <w:pPr>
        <w:ind w:left="580" w:right="40" w:hanging="580"/>
        <w:spacing w:after="0" w:line="339" w:lineRule="auto"/>
        <w:tabs>
          <w:tab w:leader="none" w:pos="560" w:val="left"/>
        </w:tabs>
        <w:rPr>
          <w:sz w:val="20"/>
          <w:szCs w:val="20"/>
          <w:color w:val="auto"/>
        </w:rPr>
      </w:pPr>
      <w:r>
        <w:rPr>
          <w:rFonts w:ascii="Times New Roman" w:cs="Times New Roman" w:eastAsia="Times New Roman" w:hAnsi="Times New Roman"/>
          <w:sz w:val="18"/>
          <w:szCs w:val="18"/>
          <w:color w:val="auto"/>
        </w:rPr>
        <w:t>10.50</w:t>
      </w:r>
      <w:r>
        <w:rPr>
          <w:sz w:val="20"/>
          <w:szCs w:val="20"/>
          <w:color w:val="auto"/>
        </w:rPr>
        <w:tab/>
      </w:r>
      <w:r>
        <w:rPr>
          <w:rFonts w:ascii="Times New Roman" w:cs="Times New Roman" w:eastAsia="Times New Roman" w:hAnsi="Times New Roman"/>
          <w:sz w:val="16"/>
          <w:szCs w:val="16"/>
          <w:color w:val="auto"/>
        </w:rPr>
        <w:t>Agreement dated January 6, 2009 between Domino’s Pizza, Inc., Blue Harbour Strategic Value Partners Master Fund, LP and Blue Harbour Institutional Partners Master Fund, L.P. (Incorporated by reference to Exhibit 10.1 to the registrant’s current report on Form 8-K filed on January 9, 2009).</w:t>
      </w:r>
    </w:p>
    <w:p>
      <w:pPr>
        <w:spacing w:after="0" w:line="20" w:lineRule="exact"/>
        <w:rPr>
          <w:sz w:val="20"/>
          <w:szCs w:val="20"/>
          <w:color w:val="auto"/>
        </w:rPr>
      </w:pPr>
    </w:p>
    <w:p>
      <w:pPr>
        <w:ind w:left="580" w:right="100" w:hanging="580"/>
        <w:spacing w:after="0" w:line="275" w:lineRule="auto"/>
        <w:tabs>
          <w:tab w:leader="none" w:pos="560" w:val="left"/>
        </w:tabs>
        <w:rPr>
          <w:sz w:val="20"/>
          <w:szCs w:val="20"/>
          <w:color w:val="auto"/>
        </w:rPr>
      </w:pPr>
      <w:r>
        <w:rPr>
          <w:rFonts w:ascii="Times New Roman" w:cs="Times New Roman" w:eastAsia="Times New Roman" w:hAnsi="Times New Roman"/>
          <w:sz w:val="18"/>
          <w:szCs w:val="18"/>
          <w:color w:val="auto"/>
        </w:rPr>
        <w:t>10.51</w:t>
        <w:tab/>
        <w:t>Letter of Credit Agreement dated as of June 22, 2009 between Domino’s Pizza LLC and Barclays Bank PLC (Incorporated by reference to Exhibit 10.1 to the registrant’s current report on Form 8-K filed on June 26, 2009).</w:t>
      </w:r>
    </w:p>
    <w:p>
      <w:pPr>
        <w:spacing w:after="0" w:line="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6"/>
          <w:szCs w:val="16"/>
          <w:color w:val="auto"/>
        </w:rPr>
        <w:t>Board of Directors Compensation.</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Ratio of Earnings to Fixed Charges.</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Domino’s Pizza, Inc.</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PricewaterhouseCoopers LLP.</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of Chief Executive Officer pursuant to Section 302 of the Sarbanes-Oxley Act of 2002, relating to Domino’s Pizza, Inc.</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of Chief Financial Officer pursuant to Section 302 of the Sarbanes-Oxley Act of 2002, relating to Domino’s Pizza, Inc.</w:t>
      </w:r>
    </w:p>
    <w:p>
      <w:pPr>
        <w:spacing w:after="0" w:line="117" w:lineRule="exact"/>
        <w:rPr>
          <w:sz w:val="20"/>
          <w:szCs w:val="20"/>
          <w:color w:val="auto"/>
        </w:rPr>
      </w:pPr>
    </w:p>
    <w:p>
      <w:pPr>
        <w:ind w:left="580" w:right="80" w:hanging="580"/>
        <w:spacing w:after="0" w:line="275" w:lineRule="auto"/>
        <w:tabs>
          <w:tab w:leader="none" w:pos="560" w:val="left"/>
        </w:tabs>
        <w:rPr>
          <w:sz w:val="20"/>
          <w:szCs w:val="20"/>
          <w:color w:val="auto"/>
        </w:rPr>
      </w:pPr>
      <w:r>
        <w:rPr>
          <w:rFonts w:ascii="Times New Roman" w:cs="Times New Roman" w:eastAsia="Times New Roman" w:hAnsi="Times New Roman"/>
          <w:sz w:val="18"/>
          <w:szCs w:val="18"/>
          <w:color w:val="auto"/>
        </w:rPr>
        <w:t>32.1</w:t>
        <w:tab/>
        <w:t>Certification of Chief Executive Officer pursuant to Section 1350, Chapter 63 of Title 18, United States Code, as adopted pursuant to Section 906 of the Sarbanes-Oxley Act of 2002, relating to Domino’s Pizza, Inc.</w:t>
      </w:r>
    </w:p>
    <w:p>
      <w:pPr>
        <w:spacing w:after="0" w:line="66" w:lineRule="exact"/>
        <w:rPr>
          <w:sz w:val="20"/>
          <w:szCs w:val="20"/>
          <w:color w:val="auto"/>
        </w:rPr>
      </w:pPr>
    </w:p>
    <w:p>
      <w:pPr>
        <w:ind w:left="580" w:right="120" w:hanging="580"/>
        <w:spacing w:after="0" w:line="275" w:lineRule="auto"/>
        <w:tabs>
          <w:tab w:leader="none" w:pos="560" w:val="left"/>
        </w:tabs>
        <w:rPr>
          <w:sz w:val="20"/>
          <w:szCs w:val="20"/>
          <w:color w:val="auto"/>
        </w:rPr>
      </w:pPr>
      <w:r>
        <w:rPr>
          <w:rFonts w:ascii="Times New Roman" w:cs="Times New Roman" w:eastAsia="Times New Roman" w:hAnsi="Times New Roman"/>
          <w:sz w:val="18"/>
          <w:szCs w:val="18"/>
          <w:color w:val="auto"/>
        </w:rPr>
        <w:t>32.2</w:t>
        <w:tab/>
        <w:t>Certification of Chief Financial Officer pursuant to Section 1350, Chapter 63 of Title 18, United States Code, as adopted pursuant to Section 906 of the Sarbanes-Oxley Act of 2002, relating to 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6000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management contract or compensatory plan or arrangement required to be filed as an exhibit to this report pursuant to Item 15(b) of Form 10-K.</w:t>
      </w:r>
    </w:p>
    <w:p>
      <w:pPr>
        <w:spacing w:after="0" w:line="17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SUPPLEMENTAL INFORMATION TO BE FURNISHED WITH REPORTS FILED PURSUANT TO SECTION 15(d) OF THE ACT BY REGISTRANTS WHICH HAVE NOT REGISTERED SECURITIES PURSUANT TO SECTION 12 OF THE ACT.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furnish to security holders an annual report and proxy materials subsequent to the filing of this annual report on Form 10-K.</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240" w:top="455" w:right="3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THE REGISTRANT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gridSpan w:val="4"/>
          </w:tcPr>
          <w:p>
            <w:pPr>
              <w:jc w:val="center"/>
              <w:ind w:right="2300"/>
              <w:spacing w:after="0"/>
              <w:rPr>
                <w:sz w:val="20"/>
                <w:szCs w:val="20"/>
                <w:color w:val="auto"/>
              </w:rPr>
            </w:pPr>
            <w:r>
              <w:rPr>
                <w:rFonts w:ascii="Times New Roman" w:cs="Times New Roman" w:eastAsia="Times New Roman" w:hAnsi="Times New Roman"/>
                <w:sz w:val="18"/>
                <w:szCs w:val="18"/>
                <w:color w:val="auto"/>
                <w:w w:val="97"/>
              </w:rPr>
              <w:t>DOMINO’S PIZZA, INC.</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40" w:type="dxa"/>
            <w:vAlign w:val="bottom"/>
            <w:gridSpan w:val="8"/>
          </w:tcPr>
          <w:p>
            <w:pPr>
              <w:jc w:val="center"/>
              <w:ind w:left="712"/>
              <w:spacing w:after="0"/>
              <w:rPr>
                <w:sz w:val="20"/>
                <w:szCs w:val="20"/>
                <w:color w:val="auto"/>
              </w:rPr>
            </w:pPr>
            <w:r>
              <w:rPr>
                <w:rFonts w:ascii="Times New Roman" w:cs="Times New Roman" w:eastAsia="Times New Roman" w:hAnsi="Times New Roman"/>
                <w:sz w:val="18"/>
                <w:szCs w:val="18"/>
                <w:color w:val="auto"/>
                <w:w w:val="96"/>
              </w:rPr>
              <w:t>PARENT COMPANY CONDENSED BALANCE SHEETS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20" w:type="dxa"/>
            <w:vAlign w:val="bottom"/>
            <w:tcBorders>
              <w:top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 thousands, except share and per share amounts)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28,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20" w:type="dxa"/>
            <w:vAlign w:val="bottom"/>
            <w:gridSpan w:val="6"/>
          </w:tcPr>
          <w:p>
            <w:pPr>
              <w:jc w:val="center"/>
              <w:ind w:right="4240"/>
              <w:spacing w:after="0"/>
              <w:rPr>
                <w:sz w:val="20"/>
                <w:szCs w:val="20"/>
                <w:color w:val="auto"/>
              </w:rPr>
            </w:pPr>
            <w:r>
              <w:rPr>
                <w:rFonts w:ascii="Times New Roman" w:cs="Times New Roman" w:eastAsia="Times New Roman" w:hAnsi="Times New Roman"/>
                <w:sz w:val="18"/>
                <w:szCs w:val="18"/>
                <w:color w:val="auto"/>
                <w:w w:val="98"/>
              </w:rPr>
              <w:t>ASSETS</w:t>
            </w:r>
          </w:p>
        </w:tc>
        <w:tc>
          <w:tcPr>
            <w:tcW w:w="16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80" w:type="dxa"/>
            <w:vAlign w:val="bottom"/>
            <w:gridSpan w:val="3"/>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40" w:type="dxa"/>
            <w:vAlign w:val="bottom"/>
            <w:gridSpan w:val="8"/>
          </w:tcPr>
          <w:p>
            <w:pPr>
              <w:jc w:val="center"/>
              <w:ind w:right="2120"/>
              <w:spacing w:after="0"/>
              <w:rPr>
                <w:sz w:val="20"/>
                <w:szCs w:val="20"/>
                <w:color w:val="auto"/>
              </w:rPr>
            </w:pPr>
            <w:r>
              <w:rPr>
                <w:rFonts w:ascii="Times New Roman" w:cs="Times New Roman" w:eastAsia="Times New Roman" w:hAnsi="Times New Roman"/>
                <w:sz w:val="18"/>
                <w:szCs w:val="18"/>
                <w:color w:val="auto"/>
                <w:w w:val="97"/>
              </w:rPr>
              <w:t>LIABILITIES AND STOCKHOLDERS’ DEFICIT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Equity in net deficit of subsidiaries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1,424,623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to subsidiary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1,428,323</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1,320,999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per share; 170,000,000 shares authorized; 56,984,155 in 2008 and 58,572,859 in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gridSpan w:val="9"/>
          </w:tcPr>
          <w:p>
            <w:pPr>
              <w:ind w:left="640"/>
              <w:spacing w:after="0"/>
              <w:rPr>
                <w:sz w:val="20"/>
                <w:szCs w:val="20"/>
                <w:color w:val="auto"/>
              </w:rPr>
            </w:pPr>
            <w:r>
              <w:rPr>
                <w:rFonts w:ascii="Times New Roman" w:cs="Times New Roman" w:eastAsia="Times New Roman" w:hAnsi="Times New Roman"/>
                <w:sz w:val="18"/>
                <w:szCs w:val="18"/>
                <w:color w:val="auto"/>
              </w:rPr>
              <w:t>2009 issued and outstanding</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none issued</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(1,421,705)</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(1,341,961)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(1,424,623)</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(1,320,994)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9"/>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86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20" w:type="dxa"/>
            <w:vAlign w:val="bottom"/>
            <w:gridSpan w:val="6"/>
          </w:tcPr>
          <w:p>
            <w:pPr>
              <w:jc w:val="center"/>
              <w:ind w:right="1340"/>
              <w:spacing w:after="0"/>
              <w:rPr>
                <w:sz w:val="20"/>
                <w:szCs w:val="20"/>
                <w:color w:val="auto"/>
              </w:rPr>
            </w:pPr>
            <w:r>
              <w:rPr>
                <w:rFonts w:ascii="Times New Roman" w:cs="Times New Roman" w:eastAsia="Times New Roman" w:hAnsi="Times New Roman"/>
                <w:sz w:val="18"/>
                <w:szCs w:val="18"/>
                <w:color w:val="auto"/>
                <w:w w:val="97"/>
              </w:rPr>
              <w:t>See accompanying notes to the Schedule I.</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40" w:type="dxa"/>
            <w:vAlign w:val="bottom"/>
            <w:gridSpan w:val="7"/>
          </w:tcPr>
          <w:p>
            <w:pPr>
              <w:jc w:val="center"/>
              <w:ind w:left="4692"/>
              <w:spacing w:after="0"/>
              <w:rPr>
                <w:sz w:val="20"/>
                <w:szCs w:val="20"/>
                <w:color w:val="auto"/>
              </w:rPr>
            </w:pPr>
            <w:r>
              <w:rPr>
                <w:rFonts w:ascii="Times New Roman" w:cs="Times New Roman" w:eastAsia="Times New Roman" w:hAnsi="Times New Roman"/>
                <w:sz w:val="18"/>
                <w:szCs w:val="18"/>
                <w:color w:val="auto"/>
                <w:w w:val="99"/>
              </w:rPr>
              <w:t>86</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-3515995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-3515995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-3515995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-3515995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-3515995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-3515995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-566420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-566420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-566420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-566420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-566420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60" w:type="dxa"/>
            <w:vAlign w:val="bottom"/>
            <w:gridSpan w:val="4"/>
          </w:tcPr>
          <w:p>
            <w:pPr>
              <w:jc w:val="center"/>
              <w:ind w:right="1112"/>
              <w:spacing w:after="0"/>
              <w:rPr>
                <w:sz w:val="20"/>
                <w:szCs w:val="20"/>
                <w:color w:val="auto"/>
              </w:rPr>
            </w:pPr>
            <w:r>
              <w:rPr>
                <w:rFonts w:ascii="Times New Roman" w:cs="Times New Roman" w:eastAsia="Times New Roman" w:hAnsi="Times New Roman"/>
                <w:sz w:val="18"/>
                <w:szCs w:val="18"/>
                <w:color w:val="auto"/>
                <w:w w:val="97"/>
              </w:rPr>
              <w:t>DOMINO’S PIZZA, INC.</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8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w w:val="96"/>
              </w:rPr>
              <w:t>PARENT COMPANY CONDENSED STATEMENTS OF INCOME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gridSpan w:val="5"/>
          </w:tcPr>
          <w:p>
            <w:pPr>
              <w:jc w:val="center"/>
              <w:ind w:right="512"/>
              <w:spacing w:after="0"/>
              <w:rPr>
                <w:sz w:val="20"/>
                <w:szCs w:val="20"/>
                <w:color w:val="auto"/>
              </w:rPr>
            </w:pPr>
            <w:r>
              <w:rPr>
                <w:rFonts w:ascii="Times New Roman" w:cs="Times New Roman" w:eastAsia="Times New Roman" w:hAnsi="Times New Roman"/>
                <w:sz w:val="18"/>
                <w:szCs w:val="18"/>
                <w:color w:val="auto"/>
                <w:w w:val="97"/>
              </w:rPr>
              <w:t>(In thousands, except per share amounts)</w:t>
            </w:r>
          </w:p>
        </w:tc>
        <w:tc>
          <w:tcPr>
            <w:tcW w:w="30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For the Years Ended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5"/>
              </w:rPr>
              <w:t>December 30,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28,</w:t>
            </w:r>
          </w:p>
        </w:tc>
        <w:tc>
          <w:tcPr>
            <w:tcW w:w="2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40" w:type="dxa"/>
            <w:vAlign w:val="bottom"/>
            <w:gridSpan w:val="5"/>
            <w:shd w:val="clear" w:color="auto" w:fill="CCEEFF"/>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earnings in subsidiaries</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INCOME BEFORE PROVISION FOR INCOME TAXES</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40" w:type="dxa"/>
            <w:vAlign w:val="bottom"/>
            <w:gridSpan w:val="5"/>
            <w:shd w:val="clear" w:color="auto" w:fill="CCEEFF"/>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7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Common Stock – basic</w:t>
            </w:r>
          </w:p>
        </w:tc>
        <w:tc>
          <w:tcPr>
            <w:tcW w:w="3640" w:type="dxa"/>
            <w:vAlign w:val="bottom"/>
            <w:gridSpan w:val="5"/>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0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 diluted</w:t>
            </w:r>
          </w:p>
        </w:tc>
        <w:tc>
          <w:tcPr>
            <w:tcW w:w="3640" w:type="dxa"/>
            <w:vAlign w:val="bottom"/>
            <w:gridSpan w:val="5"/>
            <w:shd w:val="clear" w:color="auto" w:fill="CCEEFF"/>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7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-575945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-575945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-575945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-575945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-575945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-575945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-575945</wp:posOffset>
            </wp:positionV>
            <wp:extent cx="46736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7"/>
              </w:rPr>
              <w:t>DOMINO’S PIZZA, INC.</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8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color w:val="auto"/>
                <w:w w:val="96"/>
              </w:rPr>
              <w:t>PARENT COMPANY CONDENSED STATEMENTS OF CASH FLOWS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For the Years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30,</w:t>
            </w:r>
          </w:p>
        </w:tc>
        <w:tc>
          <w:tcPr>
            <w:tcW w:w="440" w:type="dxa"/>
            <w:vAlign w:val="bottom"/>
          </w:tcPr>
          <w:p>
            <w:pPr>
              <w:spacing w:after="0"/>
              <w:rPr>
                <w:sz w:val="24"/>
                <w:szCs w:val="24"/>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28,</w:t>
            </w: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852,619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(15,759)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(15,759)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Common stock dividends</w:t>
            </w:r>
          </w:p>
        </w:tc>
        <w:tc>
          <w:tcPr>
            <w:tcW w:w="20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(846,346)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(54,548)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(42,976)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(890,501)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(38,212)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322"/>
        </w:trPr>
        <w:tc>
          <w:tcPr>
            <w:tcW w:w="7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340" w:type="dxa"/>
            <w:vAlign w:val="bottom"/>
            <w:gridSpan w:val="3"/>
            <w:vMerge w:val="restart"/>
          </w:tcPr>
          <w:p>
            <w:pPr>
              <w:jc w:val="center"/>
              <w:ind w:left="832"/>
              <w:spacing w:after="0"/>
              <w:rPr>
                <w:sz w:val="20"/>
                <w:szCs w:val="20"/>
                <w:color w:val="auto"/>
              </w:rPr>
            </w:pPr>
            <w:r>
              <w:rPr>
                <w:rFonts w:ascii="Times New Roman" w:cs="Times New Roman" w:eastAsia="Times New Roman" w:hAnsi="Times New Roman"/>
                <w:sz w:val="18"/>
                <w:szCs w:val="18"/>
                <w:color w:val="auto"/>
                <w:w w:val="97"/>
              </w:rPr>
              <w:t>See accompanying notes to the Schedule I.</w:t>
            </w: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40" w:type="dxa"/>
            <w:vAlign w:val="bottom"/>
            <w:gridSpan w:val="4"/>
          </w:tcPr>
          <w:p>
            <w:pPr>
              <w:jc w:val="center"/>
              <w:ind w:left="4692"/>
              <w:spacing w:after="0"/>
              <w:rPr>
                <w:sz w:val="20"/>
                <w:szCs w:val="20"/>
                <w:color w:val="auto"/>
              </w:rPr>
            </w:pPr>
            <w:r>
              <w:rPr>
                <w:rFonts w:ascii="Times New Roman" w:cs="Times New Roman" w:eastAsia="Times New Roman" w:hAnsi="Times New Roman"/>
                <w:sz w:val="18"/>
                <w:szCs w:val="18"/>
                <w:color w:val="auto"/>
                <w:w w:val="99"/>
              </w:rPr>
              <w:t>88</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-566420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-566420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-566420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-566420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-566420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-566420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-566420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-566420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-566420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DOMINO’S PIZZA, INC.</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PARENT COMPANY FINANCIAL STATEMENTS</w:t>
      </w:r>
    </w:p>
    <w:p>
      <w:pPr>
        <w:spacing w:after="0" w:line="293"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AND BASIS OF PRESENTATION</w:t>
      </w:r>
    </w:p>
    <w:p>
      <w:pPr>
        <w:spacing w:after="0" w:line="171" w:lineRule="exact"/>
        <w:rPr>
          <w:sz w:val="20"/>
          <w:szCs w:val="20"/>
          <w:color w:val="auto"/>
        </w:rPr>
      </w:pPr>
    </w:p>
    <w:p>
      <w:pPr>
        <w:ind w:left="1140" w:right="40" w:hanging="204"/>
        <w:spacing w:after="0" w:line="258" w:lineRule="auto"/>
        <w:rPr>
          <w:sz w:val="20"/>
          <w:szCs w:val="20"/>
          <w:color w:val="auto"/>
        </w:rPr>
      </w:pPr>
      <w:r>
        <w:rPr>
          <w:rFonts w:ascii="Times New Roman" w:cs="Times New Roman" w:eastAsia="Times New Roman" w:hAnsi="Times New Roman"/>
          <w:sz w:val="18"/>
          <w:szCs w:val="18"/>
          <w:color w:val="auto"/>
        </w:rPr>
        <w:t>Domino’s Pizza, Inc., on a stand alone basis, (the Parent Company) has accounted for majority-owned subsidiaries using the equity basis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71" w:lineRule="exact"/>
        <w:rPr>
          <w:sz w:val="20"/>
          <w:szCs w:val="20"/>
          <w:color w:val="auto"/>
        </w:rPr>
      </w:pPr>
    </w:p>
    <w:p>
      <w:pPr>
        <w:ind w:left="1140" w:right="120" w:hanging="204"/>
        <w:spacing w:after="0" w:line="275"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71" w:lineRule="exact"/>
        <w:rPr>
          <w:sz w:val="20"/>
          <w:szCs w:val="20"/>
          <w:color w:val="auto"/>
        </w:rPr>
      </w:pPr>
    </w:p>
    <w:p>
      <w:pPr>
        <w:ind w:left="1140" w:hanging="204"/>
        <w:spacing w:after="0" w:line="275" w:lineRule="auto"/>
        <w:rPr>
          <w:sz w:val="20"/>
          <w:szCs w:val="20"/>
          <w:color w:val="auto"/>
        </w:rPr>
      </w:pPr>
      <w:r>
        <w:rPr>
          <w:rFonts w:ascii="Times New Roman" w:cs="Times New Roman" w:eastAsia="Times New Roman" w:hAnsi="Times New Roman"/>
          <w:sz w:val="18"/>
          <w:szCs w:val="18"/>
          <w:color w:val="auto"/>
        </w:rPr>
        <w:t>The use of estimates is inherent in the preparation of financial statements in accordance with generally accepted accounting principles. Actual results could differ from those estimates.</w:t>
      </w:r>
    </w:p>
    <w:p>
      <w:pPr>
        <w:spacing w:after="0" w:line="241"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DISCLOSURES OF CASH FLOW INFORMATION</w:t>
      </w:r>
    </w:p>
    <w:p>
      <w:pPr>
        <w:spacing w:after="0" w:line="171" w:lineRule="exact"/>
        <w:rPr>
          <w:sz w:val="20"/>
          <w:szCs w:val="20"/>
          <w:color w:val="auto"/>
        </w:rPr>
      </w:pPr>
    </w:p>
    <w:p>
      <w:pPr>
        <w:ind w:left="1140" w:right="260" w:hanging="204"/>
        <w:spacing w:after="0" w:line="262" w:lineRule="auto"/>
        <w:rPr>
          <w:sz w:val="20"/>
          <w:szCs w:val="20"/>
          <w:color w:val="auto"/>
        </w:rPr>
      </w:pPr>
      <w:r>
        <w:rPr>
          <w:rFonts w:ascii="Times New Roman" w:cs="Times New Roman" w:eastAsia="Times New Roman" w:hAnsi="Times New Roman"/>
          <w:sz w:val="18"/>
          <w:szCs w:val="18"/>
          <w:color w:val="auto"/>
        </w:rPr>
        <w:t>During 2007, the Parent Company received dividends from its subsidiaries primarily consisting of amounts received to pay a $13.50 per share special cash dividend in connection with the Company’s 2007 recapitalization transaction. See Note 2 to the Company’s consolidated financial statements as filed in this Form 10-K for a description of the 2007 recapitalization transaction.</w:t>
      </w:r>
    </w:p>
    <w:p>
      <w:pPr>
        <w:spacing w:after="0" w:line="132" w:lineRule="exact"/>
        <w:rPr>
          <w:sz w:val="20"/>
          <w:szCs w:val="20"/>
          <w:color w:val="auto"/>
        </w:rPr>
      </w:pPr>
    </w:p>
    <w:p>
      <w:pPr>
        <w:ind w:left="1140" w:right="120" w:hanging="204"/>
        <w:spacing w:after="0" w:line="256" w:lineRule="auto"/>
        <w:rPr>
          <w:sz w:val="20"/>
          <w:szCs w:val="20"/>
          <w:color w:val="auto"/>
        </w:rPr>
      </w:pPr>
      <w:r>
        <w:rPr>
          <w:rFonts w:ascii="Times New Roman" w:cs="Times New Roman" w:eastAsia="Times New Roman" w:hAnsi="Times New Roman"/>
          <w:sz w:val="18"/>
          <w:szCs w:val="18"/>
          <w:color w:val="auto"/>
        </w:rPr>
        <w:t>Non-cash activities of $32.6 million, $9.8 million and $18.8 million were recorded in 2007, 2008 and 2009, respectively. These amounts primarily relate to stock-based compensation plans and amounts recorded in other comprehensive income related to the Company’s subsidiaries. Non-cash activities in 2007 also include payment by a subsidiary of approximately $50.6 million pursuant to the anti-dilution provisions in the Company’s equity incentive plans which was recorded as an increase in total stockholders’ deficit (see Note 8 to the Company’s consolidated financial statements as filed in this Form 10-K for further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7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9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75"/>
              <w:spacing w:after="0" w:line="145"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2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620" w:type="dxa"/>
            <w:vAlign w:val="bottom"/>
            <w:gridSpan w:val="2"/>
          </w:tcPr>
          <w:p>
            <w:pPr>
              <w:ind w:left="1880"/>
              <w:spacing w:after="0" w:line="152"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860" w:type="dxa"/>
            <w:vAlign w:val="bottom"/>
            <w:gridSpan w:val="2"/>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300" w:type="dxa"/>
            <w:vAlign w:val="bottom"/>
          </w:tcPr>
          <w:p>
            <w:pPr>
              <w:spacing w:after="0"/>
              <w:rPr>
                <w:sz w:val="13"/>
                <w:szCs w:val="13"/>
                <w:color w:val="auto"/>
              </w:rPr>
            </w:pPr>
          </w:p>
        </w:tc>
        <w:tc>
          <w:tcPr>
            <w:tcW w:w="740" w:type="dxa"/>
            <w:vAlign w:val="bottom"/>
          </w:tcPr>
          <w:p>
            <w:pPr>
              <w:jc w:val="right"/>
              <w:ind w:right="335"/>
              <w:spacing w:after="0" w:line="152" w:lineRule="exact"/>
              <w:rPr>
                <w:sz w:val="20"/>
                <w:szCs w:val="20"/>
                <w:color w:val="auto"/>
              </w:rPr>
            </w:pPr>
            <w:r>
              <w:rPr>
                <w:rFonts w:ascii="Times New Roman" w:cs="Times New Roman" w:eastAsia="Times New Roman" w:hAnsi="Times New Roman"/>
                <w:sz w:val="14"/>
                <w:szCs w:val="14"/>
                <w:b w:val="1"/>
                <w:bCs w:val="1"/>
                <w:color w:val="auto"/>
              </w:rPr>
              <w:t>from</w:t>
            </w:r>
          </w:p>
        </w:tc>
        <w:tc>
          <w:tcPr>
            <w:tcW w:w="1140" w:type="dxa"/>
            <w:vAlign w:val="bottom"/>
            <w:gridSpan w:val="2"/>
          </w:tcPr>
          <w:p>
            <w:pPr>
              <w:ind w:left="220"/>
              <w:spacing w:after="0" w:line="152"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3"/>
                <w:szCs w:val="13"/>
                <w:color w:val="auto"/>
              </w:rPr>
            </w:pPr>
          </w:p>
        </w:tc>
        <w:tc>
          <w:tcPr>
            <w:tcW w:w="480" w:type="dxa"/>
            <w:vAlign w:val="bottom"/>
          </w:tcPr>
          <w:p>
            <w:pPr>
              <w:jc w:val="center"/>
              <w:ind w:right="17"/>
              <w:spacing w:after="0" w:line="152" w:lineRule="exact"/>
              <w:rPr>
                <w:sz w:val="20"/>
                <w:szCs w:val="20"/>
                <w:color w:val="auto"/>
              </w:rPr>
            </w:pPr>
            <w:r>
              <w:rPr>
                <w:rFonts w:ascii="Times New Roman" w:cs="Times New Roman" w:eastAsia="Times New Roman" w:hAnsi="Times New Roman"/>
                <w:sz w:val="14"/>
                <w:szCs w:val="14"/>
                <w:b w:val="1"/>
                <w:bCs w:val="1"/>
                <w:color w:val="auto"/>
                <w:w w:val="94"/>
              </w:rPr>
              <w:t>End of</w:t>
            </w:r>
          </w:p>
        </w:tc>
        <w:tc>
          <w:tcPr>
            <w:tcW w:w="0" w:type="dxa"/>
            <w:vAlign w:val="bottom"/>
          </w:tcPr>
          <w:p>
            <w:pPr>
              <w:spacing w:after="0"/>
              <w:rPr>
                <w:sz w:val="1"/>
                <w:szCs w:val="1"/>
                <w:color w:val="auto"/>
              </w:rPr>
            </w:pPr>
          </w:p>
        </w:tc>
      </w:tr>
      <w:tr>
        <w:trPr>
          <w:trHeight w:val="17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89"/>
              </w:rPr>
              <w:t>of Year</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Reserves *</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4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receivable:</w:t>
            </w:r>
          </w:p>
        </w:tc>
        <w:tc>
          <w:tcPr>
            <w:tcW w:w="19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96"/>
              </w:rPr>
              <w:t>10,949</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8"/>
              </w:rPr>
              <w:t>1,162</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(2,925)</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jc w:val="right"/>
              <w:ind w:right="4112"/>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3,698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8"/>
              </w:rPr>
              <w:t>7,339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(81)</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10,949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8"/>
              </w:rPr>
              <w:t>2,128</w:t>
            </w:r>
          </w:p>
        </w:tc>
        <w:tc>
          <w:tcPr>
            <w:tcW w:w="300" w:type="dxa"/>
            <w:vAlign w:val="bottom"/>
          </w:tcPr>
          <w:p>
            <w:pPr>
              <w:spacing w:after="0"/>
              <w:rPr>
                <w:sz w:val="19"/>
                <w:szCs w:val="19"/>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tcPr>
          <w:p>
            <w:pPr>
              <w:spacing w:after="0"/>
              <w:rPr>
                <w:sz w:val="19"/>
                <w:szCs w:val="19"/>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notes receivable:</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rPr>
              <w:t>2009</w:t>
            </w:r>
          </w:p>
        </w:tc>
        <w:tc>
          <w:tcPr>
            <w:tcW w:w="196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1,791</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(1,049)</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jc w:val="right"/>
              <w:ind w:right="4112"/>
              <w:spacing w:after="0"/>
              <w:rPr>
                <w:sz w:val="20"/>
                <w:szCs w:val="20"/>
                <w:color w:val="auto"/>
              </w:rPr>
            </w:pPr>
            <w:r>
              <w:rPr>
                <w:rFonts w:ascii="Times New Roman" w:cs="Times New Roman" w:eastAsia="Times New Roman" w:hAnsi="Times New Roman"/>
                <w:sz w:val="18"/>
                <w:szCs w:val="18"/>
                <w:color w:val="auto"/>
              </w:rPr>
              <w:t>2008</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1,416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jc w:val="right"/>
              <w:ind w:right="4112"/>
              <w:spacing w:after="0"/>
              <w:rPr>
                <w:sz w:val="20"/>
                <w:szCs w:val="20"/>
                <w:color w:val="auto"/>
              </w:rPr>
            </w:pPr>
            <w:r>
              <w:rPr>
                <w:rFonts w:ascii="Times New Roman" w:cs="Times New Roman" w:eastAsia="Times New Roman" w:hAnsi="Times New Roman"/>
                <w:sz w:val="18"/>
                <w:szCs w:val="18"/>
                <w:color w:val="auto"/>
              </w:rPr>
              <w:t>2007</w:t>
            </w:r>
          </w:p>
        </w:tc>
        <w:tc>
          <w:tcPr>
            <w:tcW w:w="1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620" w:right="5380" w:hanging="5612"/>
        <w:spacing w:after="0" w:line="386" w:lineRule="auto"/>
        <w:tabs>
          <w:tab w:leader="none" w:pos="13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write-offs, recoveries of bad debt and certain reclassifications. 90</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registrants have duly caused this annual report to be signed on their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Wendy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Wendy A. Beck</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March 2, 2010</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David A. Brandon</w:t>
            </w:r>
          </w:p>
        </w:tc>
        <w:tc>
          <w:tcPr>
            <w:tcW w:w="5200" w:type="dxa"/>
            <w:vAlign w:val="bottom"/>
          </w:tcPr>
          <w:p>
            <w:pPr>
              <w:spacing w:after="0"/>
              <w:rPr>
                <w:sz w:val="19"/>
                <w:szCs w:val="19"/>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David A. Brandon</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6"/>
              </w:rPr>
              <w:t>Chairman, Chief Executive Officer and 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Wendy A. Beck</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Wendy A. Beck</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J. Patrick Doyle</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 Patrick Doyle</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President, Domino’s U.S.A. and 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spacing w:after="0"/>
              <w:rPr>
                <w:sz w:val="19"/>
                <w:szCs w:val="19"/>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Andrew B. Balson</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Andrew B. Balson</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spacing w:after="0"/>
              <w:rPr>
                <w:sz w:val="19"/>
                <w:szCs w:val="19"/>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Diana F. Cantor</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Diana F. Cantor</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spacing w:after="0"/>
              <w:rPr>
                <w:sz w:val="19"/>
                <w:szCs w:val="19"/>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Vernon O. Hamilton</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Vernon O. Hamilton</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spacing w:after="0"/>
              <w:rPr>
                <w:sz w:val="19"/>
                <w:szCs w:val="19"/>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Mark E. Nunnelly</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Mark E. Nunnelly</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spacing w:after="0"/>
              <w:rPr>
                <w:sz w:val="19"/>
                <w:szCs w:val="19"/>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Robert M. Rosenberg</w:t>
            </w:r>
          </w:p>
        </w:tc>
        <w:tc>
          <w:tcPr>
            <w:tcW w:w="520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5200" w:type="dxa"/>
            <w:vAlign w:val="bottom"/>
          </w:tcPr>
          <w:p>
            <w:pPr>
              <w:spacing w:after="0"/>
              <w:rPr>
                <w:sz w:val="9"/>
                <w:szCs w:val="9"/>
                <w:color w:val="auto"/>
              </w:rPr>
            </w:pPr>
          </w:p>
        </w:tc>
      </w:tr>
      <w:tr>
        <w:trPr>
          <w:trHeight w:val="30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Robert M. Rosenberg</w:t>
            </w:r>
          </w:p>
        </w:tc>
        <w:tc>
          <w:tcPr>
            <w:tcW w:w="52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2, 2010</w:t>
            </w:r>
          </w:p>
        </w:tc>
        <w:tc>
          <w:tcPr>
            <w:tcW w:w="5200" w:type="dxa"/>
            <w:vAlign w:val="bottom"/>
          </w:tcPr>
          <w:p>
            <w:pPr>
              <w:spacing w:after="0"/>
              <w:rPr>
                <w:sz w:val="19"/>
                <w:szCs w:val="19"/>
                <w:color w:val="auto"/>
              </w:rPr>
            </w:pPr>
          </w:p>
        </w:tc>
      </w:tr>
      <w:tr>
        <w:trPr>
          <w:trHeight w:val="365"/>
        </w:trPr>
        <w:tc>
          <w:tcPr>
            <w:tcW w:w="4240" w:type="dxa"/>
            <w:vAlign w:val="bottom"/>
          </w:tcPr>
          <w:p>
            <w:pPr>
              <w:spacing w:after="0"/>
              <w:rPr>
                <w:sz w:val="24"/>
                <w:szCs w:val="24"/>
                <w:color w:val="auto"/>
              </w:rPr>
            </w:pPr>
          </w:p>
        </w:tc>
        <w:tc>
          <w:tcPr>
            <w:tcW w:w="52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91</w:t>
            </w:r>
          </w:p>
        </w:tc>
      </w:tr>
    </w:tbl>
    <w:p>
      <w:pPr>
        <w:sectPr>
          <w:pgSz w:w="11900" w:h="16838" w:orient="portrait"/>
          <w:cols w:equalWidth="0" w:num="1">
            <w:col w:w="11260"/>
          </w:cols>
          <w:pgMar w:left="240" w:top="455" w:right="3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Domino’s Pizza,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2004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Restricted Stock Agreement</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Domino’s Pizza, Inc., (the “Company”) a Delaware corporation, hereby grants this Restricted Stock Award (the “Restricted Stock Award”) to the above named individual (the “Participant”) pursuant to the Company’s 2004 Equity Incentive Plan (as from time to time in effect, the “Plan”). On the date of this Restricted Stock Award, the Company hereby grants and transfers to Participant the aggregate number of shares set forth above (the “Shares”) of the Common Stock of the Company, par value $.01 per share, all in accordance with and subject to the following terms and conditions:</w:t>
      </w:r>
    </w:p>
    <w:p>
      <w:pPr>
        <w:spacing w:after="0" w:line="134" w:lineRule="exact"/>
        <w:rPr>
          <w:sz w:val="20"/>
          <w:szCs w:val="20"/>
          <w:color w:val="auto"/>
        </w:rPr>
      </w:pPr>
    </w:p>
    <w:p>
      <w:pPr>
        <w:ind w:right="80" w:firstLine="8"/>
        <w:spacing w:after="0" w:line="264" w:lineRule="auto"/>
        <w:tabs>
          <w:tab w:leader="none" w:pos="48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 and Vesting. </w:t>
      </w:r>
      <w:r>
        <w:rPr>
          <w:rFonts w:ascii="Times New Roman" w:cs="Times New Roman" w:eastAsia="Times New Roman" w:hAnsi="Times New Roman"/>
          <w:sz w:val="18"/>
          <w:szCs w:val="18"/>
          <w:color w:val="auto"/>
        </w:rPr>
        <w:t>Each Share under the Restricted Stock Award shall be subject to the transfer restrictions (the “Transfer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 of this Restricted Stock Agreement (the “Agreement”). The Shares shall vest and the Transfer Restrictions with respect thereto shall lapse on the following dates in accordance with the following terms and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hundred percent vesting on the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anniversary of the Grant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anniversary date shall be referred to herein as the “Regular Vesting Date” of the Vesting Tranche vesting on such date.</w:t>
      </w:r>
    </w:p>
    <w:p>
      <w:pPr>
        <w:spacing w:after="0" w:line="171"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u w:val="single" w:color="auto"/>
          <w:color w:val="auto"/>
        </w:rPr>
        <w:t>Forfeiture Conditions</w:t>
      </w:r>
      <w:r>
        <w:rPr>
          <w:rFonts w:ascii="Times New Roman" w:cs="Times New Roman" w:eastAsia="Times New Roman" w:hAnsi="Times New Roman"/>
          <w:sz w:val="18"/>
          <w:szCs w:val="18"/>
          <w:color w:val="auto"/>
        </w:rPr>
        <w:t>. Any Share then subject to Transfer Restrictions shall be automatically and immediately forfeited to the Company if, with respect to a particular Vesting Tranche of which such Share is part, any of the following occurs (each, a “Forfeiture Condition”):</w:t>
      </w:r>
    </w:p>
    <w:p>
      <w:pPr>
        <w:spacing w:after="0" w:line="160" w:lineRule="exact"/>
        <w:rPr>
          <w:sz w:val="20"/>
          <w:szCs w:val="20"/>
          <w:color w:val="auto"/>
        </w:rPr>
      </w:pPr>
    </w:p>
    <w:p>
      <w:pPr>
        <w:ind w:left="900" w:right="300" w:hanging="446"/>
        <w:spacing w:after="0" w:line="257"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ceases to serve as director of the Company voluntarily (i.e., other than as a result of death or disability) prior to the vesting of such Vesting Tranche; or</w:t>
      </w:r>
    </w:p>
    <w:p>
      <w:pPr>
        <w:spacing w:after="0" w:line="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ceases to serve as director of the Company by reason of death or disability prior to the vesting of such Vesting Tranche.</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the occurrence of a Forfeiture Condition, the Participant hereby (i) appoints the Company as the attorney-in-fact of the Participant to take such actions as may be necessary or appropriate to effectuate a transfer of the record ownership of any such Shares that are unvested and forfeited hereunder, (ii) agrees to deliver to the Company, as a precondition to the issuance of any certificate or certificates with respect to unvested Shares hereunder, one or more stock powers, endorsed in blank, with respect to such Shares, and (iii) agrees to sign such other powers and take such other actions as the Company may reasonably request to accomplish the transfer or forfeiture of any unvested Shares that are forfeited hereunder.</w:t>
      </w:r>
    </w:p>
    <w:p>
      <w:pPr>
        <w:spacing w:after="0" w:line="13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 vested share to which the Transfer Restrictions no longer apply shall be freely transferable, subject, however, to (i) satisfaction of any applicable tax withholding requirements with respect to the vesting or transfer of such Share; (ii) the completion of any administrative steps (for example, but without limitation, the transfer of certificates) that the Company may reasonably impose; and (iii) applicable requirements of federal and state securities laws. Until a Share is vested, the certificate evidencing the Share shall carry a restrictive legend that prohibits any sale, transfer, pledge, assignment or other encumbrance or disposition of such Share prior to vesting. In addition, if unvested Shares are held in book entry form, the Company may take such steps as it deems necessary or appropriate to record and manifest the restrictions applicable to such Shares and the Participant agrees that the Company may give stop transfer instructions to the depository to ensure compliance with the provisions of this Agreement. Any certificates representing unvested Shares shall be held by the Company.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93" w:name="page94"/>
    <w:bookmarkEnd w:id="93"/>
    <w:p>
      <w:pPr>
        <w:ind w:left="-8" w:right="60" w:firstLine="8"/>
        <w:spacing w:after="0" w:line="302" w:lineRule="auto"/>
        <w:tabs>
          <w:tab w:leader="none" w:pos="472"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Prior to Vesting Date. </w:t>
      </w:r>
      <w:r>
        <w:rPr>
          <w:rFonts w:ascii="Times New Roman" w:cs="Times New Roman" w:eastAsia="Times New Roman" w:hAnsi="Times New Roman"/>
          <w:sz w:val="16"/>
          <w:szCs w:val="16"/>
          <w:color w:val="auto"/>
        </w:rPr>
        <w:t>If a Participant ceases to serve as director of the Company by reason of death or disability or is involuntarily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terminated by the Company without “cause” prior to the vesting of any Vesting Tranche(s), all of the Shares included in such Vesting Tranche(s) to the extent not otherwise vested shall become fully vested on the date of termination and any Transfer Restrictions shall no longer apply to such Shares. For the avoidance of doubt, this acceleration of vesting shall only apply with respect to Shares not previously forfeited as a result of the occurrence of a Forfeiture Condition.</w:t>
      </w:r>
    </w:p>
    <w:p>
      <w:pPr>
        <w:spacing w:after="0" w:line="100" w:lineRule="exact"/>
        <w:rPr>
          <w:rFonts w:ascii="Times New Roman" w:cs="Times New Roman" w:eastAsia="Times New Roman" w:hAnsi="Times New Roman"/>
          <w:sz w:val="16"/>
          <w:szCs w:val="16"/>
          <w:b w:val="1"/>
          <w:bCs w:val="1"/>
          <w:color w:val="auto"/>
        </w:rPr>
      </w:pPr>
    </w:p>
    <w:p>
      <w:pPr>
        <w:ind w:left="-8" w:right="200" w:firstLine="8"/>
        <w:spacing w:after="0" w:line="293" w:lineRule="auto"/>
        <w:tabs>
          <w:tab w:leader="none" w:pos="475"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Retirement. </w:t>
      </w:r>
      <w:r>
        <w:rPr>
          <w:rFonts w:ascii="Times New Roman" w:cs="Times New Roman" w:eastAsia="Times New Roman" w:hAnsi="Times New Roman"/>
          <w:sz w:val="16"/>
          <w:szCs w:val="16"/>
          <w:color w:val="auto"/>
        </w:rPr>
        <w:t>Subject to the other provisions of this Agreement and the Plan, if the Participant Retires (or dies or becomes disabled at a time when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had satisfied the age and years of service requirements specified in the definition of Retirement), then notwithstanding the terms of Section 1 of this Agreement, all unvested Shares hereunder shall not be forfeited and the Shares shall continue to be eligible to vest (and shall remain subject to Transfer Restrictions until so vested) as set forth in Section 1 of this Agreement. For the avoidance of doubt, this provision shall only apply with respect to Shares not previously forfeited as a result of the occurrence of a Forfeiture Condition. For purposes of this Award, “Retire” and “Retirement” mean termination of the Participant’s employment after attainment by the Participant of age fifty-five (55) and five (5) years of continuous service with the Company.</w:t>
      </w:r>
    </w:p>
    <w:p>
      <w:pPr>
        <w:spacing w:after="0" w:line="110" w:lineRule="exact"/>
        <w:rPr>
          <w:rFonts w:ascii="Times New Roman" w:cs="Times New Roman" w:eastAsia="Times New Roman" w:hAnsi="Times New Roman"/>
          <w:sz w:val="16"/>
          <w:szCs w:val="16"/>
          <w:b w:val="1"/>
          <w:bCs w:val="1"/>
          <w:color w:val="auto"/>
        </w:rPr>
      </w:pPr>
    </w:p>
    <w:p>
      <w:pPr>
        <w:jc w:val="both"/>
        <w:ind w:left="-8" w:right="240" w:firstLine="8"/>
        <w:spacing w:after="0" w:line="264" w:lineRule="auto"/>
        <w:tabs>
          <w:tab w:leader="none" w:pos="4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Restricted Stock Award</w:t>
      </w:r>
      <w:r>
        <w:rPr>
          <w:rFonts w:ascii="Times New Roman" w:cs="Times New Roman" w:eastAsia="Times New Roman" w:hAnsi="Times New Roman"/>
          <w:sz w:val="18"/>
          <w:szCs w:val="18"/>
          <w:color w:val="auto"/>
        </w:rPr>
        <w:t>. Until the lapse of the Transfer Restrictions set forth in Section 1, or unless the Administrator approves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of all or part of the Restricted Stock Award in accordance with the Plan, the Restricted Stock Award hereby granted shall not be transferable by the Participant.</w:t>
      </w:r>
    </w:p>
    <w:p>
      <w:pPr>
        <w:spacing w:after="0" w:line="127" w:lineRule="exact"/>
        <w:rPr>
          <w:rFonts w:ascii="Times New Roman" w:cs="Times New Roman" w:eastAsia="Times New Roman" w:hAnsi="Times New Roman"/>
          <w:sz w:val="18"/>
          <w:szCs w:val="18"/>
          <w:b w:val="1"/>
          <w:bCs w:val="1"/>
          <w:color w:val="auto"/>
        </w:rPr>
      </w:pPr>
    </w:p>
    <w:p>
      <w:pPr>
        <w:ind w:left="-8" w:firstLine="8"/>
        <w:spacing w:after="0" w:line="253" w:lineRule="auto"/>
        <w:tabs>
          <w:tab w:leader="none" w:pos="4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Shareholder. </w:t>
      </w:r>
      <w:r>
        <w:rPr>
          <w:rFonts w:ascii="Times New Roman" w:cs="Times New Roman" w:eastAsia="Times New Roman" w:hAnsi="Times New Roman"/>
          <w:sz w:val="18"/>
          <w:szCs w:val="18"/>
          <w:color w:val="auto"/>
        </w:rPr>
        <w:t>Except for forfeitability of all or part of the Restricted Stock Award prior to the lapse of the restrictions set forth in Section 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 shall have all rights of a shareholder (including voting and dividend rights) commencing on the date on which the certificate is issued evidencing the Award. Notwithstanding the foregoing, any property distributed with respect to a Share (the “associated share”) acquired hereunder, including without limitation a distribution of Common Stock by reason of a stock dividend, stock split or otherwise, or a distribution of other securities with respect to an associated share, shall be subject to forfeiture risk and Transfer Restrictions, if any, applicable to the associated share for so long as the associated share remains subject to such forfeiture risk and Transfer Restrictions and shall be promptly forfeited if and when the associated share is so forfeited. The Company may require that any cash distribution with respect to the Shares be held back, placed in escrow or otherwise made subject to such restrictions as the Company deems appropriate to carry out the intent of this Restricted Stock Award. References in the Plan and this Agreement to the Shares shall be deemed to refer,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such additional restricted amounts.</w:t>
      </w:r>
    </w:p>
    <w:p>
      <w:pPr>
        <w:spacing w:after="0" w:line="143" w:lineRule="exact"/>
        <w:rPr>
          <w:rFonts w:ascii="Times New Roman" w:cs="Times New Roman" w:eastAsia="Times New Roman" w:hAnsi="Times New Roman"/>
          <w:sz w:val="18"/>
          <w:szCs w:val="18"/>
          <w:b w:val="1"/>
          <w:bCs w:val="1"/>
          <w:color w:val="auto"/>
        </w:rPr>
      </w:pPr>
    </w:p>
    <w:p>
      <w:pPr>
        <w:ind w:left="-8" w:right="800" w:firstLine="8"/>
        <w:spacing w:after="0" w:line="277" w:lineRule="auto"/>
        <w:tabs>
          <w:tab w:leader="none" w:pos="4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Participant agrees to take such steps, including prompt payment of cash to the Company, as the Company directs to satisfy all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that may arise with respect this Restricted Stock Award or the transfer or vesting of the Shares granted hereunder.</w:t>
      </w:r>
    </w:p>
    <w:p>
      <w:pPr>
        <w:spacing w:after="0" w:line="116" w:lineRule="exact"/>
        <w:rPr>
          <w:rFonts w:ascii="Times New Roman" w:cs="Times New Roman" w:eastAsia="Times New Roman" w:hAnsi="Times New Roman"/>
          <w:sz w:val="18"/>
          <w:szCs w:val="18"/>
          <w:b w:val="1"/>
          <w:bCs w:val="1"/>
          <w:color w:val="auto"/>
        </w:rPr>
      </w:pPr>
    </w:p>
    <w:p>
      <w:pPr>
        <w:ind w:left="-8" w:right="20" w:firstLine="8"/>
        <w:spacing w:after="0" w:line="259" w:lineRule="auto"/>
        <w:tabs>
          <w:tab w:leader="none" w:pos="4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Provisions of the Plan. </w:t>
      </w:r>
      <w:r>
        <w:rPr>
          <w:rFonts w:ascii="Times New Roman" w:cs="Times New Roman" w:eastAsia="Times New Roman" w:hAnsi="Times New Roman"/>
          <w:sz w:val="18"/>
          <w:szCs w:val="18"/>
          <w:color w:val="auto"/>
        </w:rPr>
        <w:t>This Restricted Stock Award is subject to the provisions of the Plan, which are incorporated herein by reference. A copy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in effect on the date of the grant of this Restricted Stock Award is available from the Company. By accepting this Restricted Stock Award, the Participant acknowledges receipt of a copy of the prospectus relating to the plan, and agrees to be bound by the terms of the Plan and this Agreement. All initially capitalized terms used herein will have the meaning specified in the Plan unless another meaning is specified herein.</w:t>
      </w:r>
    </w:p>
    <w:p>
      <w:pPr>
        <w:spacing w:after="0" w:line="132" w:lineRule="exact"/>
        <w:rPr>
          <w:rFonts w:ascii="Times New Roman" w:cs="Times New Roman" w:eastAsia="Times New Roman" w:hAnsi="Times New Roman"/>
          <w:sz w:val="18"/>
          <w:szCs w:val="18"/>
          <w:b w:val="1"/>
          <w:bCs w:val="1"/>
          <w:color w:val="auto"/>
        </w:rPr>
      </w:pPr>
    </w:p>
    <w:p>
      <w:pPr>
        <w:ind w:left="-8" w:right="60" w:firstLine="8"/>
        <w:spacing w:after="0" w:line="259" w:lineRule="auto"/>
        <w:tabs>
          <w:tab w:leader="none" w:pos="4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Restricted Stock Award is governed by, and subject to, the laws of the State of Delaware, as provided in the Plan.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litigating any dispute that arises under this Agreement or the Plan, the parties hereby submit to and consent to the jurisdiction of the State of Delaware, agree that such litigation shall be conducted in the courts of Delaware, or the federal courts for the United States for the District of Delaware, where this grant is made and/or to be performed.</w:t>
      </w:r>
    </w:p>
    <w:p>
      <w:pPr>
        <w:spacing w:after="0" w:line="132" w:lineRule="exact"/>
        <w:rPr>
          <w:rFonts w:ascii="Times New Roman" w:cs="Times New Roman" w:eastAsia="Times New Roman" w:hAnsi="Times New Roman"/>
          <w:sz w:val="18"/>
          <w:szCs w:val="18"/>
          <w:b w:val="1"/>
          <w:bCs w:val="1"/>
          <w:color w:val="auto"/>
        </w:rPr>
      </w:pPr>
    </w:p>
    <w:p>
      <w:pPr>
        <w:ind w:left="-8" w:right="100" w:firstLine="8"/>
        <w:spacing w:after="0" w:line="264" w:lineRule="auto"/>
        <w:tabs>
          <w:tab w:leader="none" w:pos="4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The Company may, in its sole discretion, deliver any documents related to this Restricted Stock Award by electronic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92"/>
          </w:cols>
          <w:pgMar w:left="248" w:top="272" w:right="259" w:bottom="1440" w:gutter="0" w:footer="0" w:header="0"/>
        </w:sectPr>
      </w:pPr>
    </w:p>
    <w:bookmarkStart w:id="94" w:name="page95"/>
    <w:bookmarkEnd w:id="94"/>
    <w:p>
      <w:pPr>
        <w:ind w:left="-8" w:right="220" w:firstLine="8"/>
        <w:spacing w:after="0" w:line="257" w:lineRule="auto"/>
        <w:tabs>
          <w:tab w:leader="none" w:pos="563"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Contract of Employment. </w:t>
      </w:r>
      <w:r>
        <w:rPr>
          <w:rFonts w:ascii="Times New Roman" w:cs="Times New Roman" w:eastAsia="Times New Roman" w:hAnsi="Times New Roman"/>
          <w:sz w:val="18"/>
          <w:szCs w:val="18"/>
          <w:color w:val="auto"/>
        </w:rPr>
        <w:t>The Restricted Stock Award is not a contract of employment between the Company and the Participant.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retains the right to terminate his employment with the Company, and the Company retains the right to terminate or modify the terms of the Participant’s employment, subject to any rights retained by either party under the Participant’s employment agreement, if Participant has an employment agreement, and no loss of rights, contingent or otherwise, under this Restricted Stock Award upon termination of employment shall be claimed by the Participant as an element of damages in any dispute over such termination of employment.</w:t>
      </w:r>
    </w:p>
    <w:p>
      <w:pPr>
        <w:spacing w:after="0" w:line="134" w:lineRule="exact"/>
        <w:rPr>
          <w:rFonts w:ascii="Times New Roman" w:cs="Times New Roman" w:eastAsia="Times New Roman" w:hAnsi="Times New Roman"/>
          <w:sz w:val="18"/>
          <w:szCs w:val="18"/>
          <w:b w:val="1"/>
          <w:bCs w:val="1"/>
          <w:color w:val="auto"/>
        </w:rPr>
      </w:pPr>
    </w:p>
    <w:p>
      <w:pPr>
        <w:ind w:left="-8" w:firstLine="8"/>
        <w:spacing w:after="0" w:line="259" w:lineRule="auto"/>
        <w:tabs>
          <w:tab w:leader="none" w:pos="553"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83(b) Election. </w:t>
      </w:r>
      <w:r>
        <w:rPr>
          <w:rFonts w:ascii="Times New Roman" w:cs="Times New Roman" w:eastAsia="Times New Roman" w:hAnsi="Times New Roman"/>
          <w:sz w:val="18"/>
          <w:szCs w:val="18"/>
          <w:color w:val="auto"/>
        </w:rPr>
        <w:t>The Participant expressly acknowledges that such participant has been advised to confer promptly with a professional tax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consider whether the participant should make a so-called “83(b) election” with respect to the Shares. Any such election, to be effective, must be made in accordance with applicable regulations and within thirty (30) days following the date of this Restricted Stock Award. The Company has made no recommendation to the undersigned with respect to the advisability of making such an election.</w:t>
      </w:r>
    </w:p>
    <w:p>
      <w:pPr>
        <w:spacing w:after="0" w:line="132" w:lineRule="exact"/>
        <w:rPr>
          <w:rFonts w:ascii="Times New Roman" w:cs="Times New Roman" w:eastAsia="Times New Roman" w:hAnsi="Times New Roman"/>
          <w:sz w:val="18"/>
          <w:szCs w:val="18"/>
          <w:b w:val="1"/>
          <w:bCs w:val="1"/>
          <w:color w:val="auto"/>
        </w:rPr>
      </w:pPr>
    </w:p>
    <w:p>
      <w:pPr>
        <w:ind w:left="-8" w:right="140" w:firstLine="8"/>
        <w:spacing w:after="0" w:line="277" w:lineRule="auto"/>
        <w:tabs>
          <w:tab w:leader="none" w:pos="563"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provisions of this Agreement are severable and if any one or more provisions are determined to be illegal or otherwise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whole or in part, the remaining provisions shall nevertheless be binding and enforceable.</w:t>
      </w:r>
    </w:p>
    <w:p>
      <w:pPr>
        <w:spacing w:after="0" w:line="11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executed by its duly authorized officer.</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7"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David A. Brandon</w:t>
      </w:r>
    </w:p>
    <w:p>
      <w:pPr>
        <w:spacing w:after="0" w:line="21"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1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92"/>
          </w:cols>
          <w:pgMar w:left="248" w:top="272" w:right="2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10.33</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157" w:lineRule="exact"/>
        <w:rPr>
          <w:sz w:val="20"/>
          <w:szCs w:val="20"/>
          <w:color w:val="auto"/>
        </w:rPr>
      </w:pPr>
    </w:p>
    <w:p>
      <w:pPr>
        <w:ind w:right="3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FIRST AMENDMENT </w:t>
      </w:r>
      <w:r>
        <w:rPr>
          <w:rFonts w:ascii="Times New Roman" w:cs="Times New Roman" w:eastAsia="Times New Roman" w:hAnsi="Times New Roman"/>
          <w:sz w:val="18"/>
          <w:szCs w:val="18"/>
          <w:color w:val="auto"/>
        </w:rPr>
        <w:t>to the Amended and Restated Employment Agreement effective as of January 1, 2008 among David A. Brandon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Domino’s Pizza,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Domino’s, Inc. (“</w:t>
      </w:r>
      <w:r>
        <w:rPr>
          <w:rFonts w:ascii="Times New Roman" w:cs="Times New Roman" w:eastAsia="Times New Roman" w:hAnsi="Times New Roman"/>
          <w:sz w:val="18"/>
          <w:szCs w:val="18"/>
          <w:u w:val="single" w:color="auto"/>
          <w:color w:val="auto"/>
        </w:rPr>
        <w:t>DI</w:t>
      </w:r>
      <w:r>
        <w:rPr>
          <w:rFonts w:ascii="Times New Roman" w:cs="Times New Roman" w:eastAsia="Times New Roman" w:hAnsi="Times New Roman"/>
          <w:sz w:val="18"/>
          <w:szCs w:val="18"/>
          <w:color w:val="auto"/>
        </w:rPr>
        <w:t>”) and Domino’s Pizza LLC (“</w:t>
      </w:r>
      <w:r>
        <w:rPr>
          <w:rFonts w:ascii="Times New Roman" w:cs="Times New Roman" w:eastAsia="Times New Roman" w:hAnsi="Times New Roman"/>
          <w:sz w:val="18"/>
          <w:szCs w:val="18"/>
          <w:u w:val="single" w:color="auto"/>
          <w:color w:val="auto"/>
        </w:rPr>
        <w:t>DPLLC</w:t>
      </w:r>
      <w:r>
        <w:rPr>
          <w:rFonts w:ascii="Times New Roman" w:cs="Times New Roman" w:eastAsia="Times New Roman" w:hAnsi="Times New Roman"/>
          <w:sz w:val="18"/>
          <w:szCs w:val="18"/>
          <w:color w:val="auto"/>
        </w:rPr>
        <w:t>” and together with DI,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executed among the Company, the Principal Subsidiaries and the Executive, dated as of February 25, 2010, effective as of March 8, 2010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1"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effective as of March 8, 2010, the Executive has accepted the position of Director of Intercollegiate Athletics at the University of Michigan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continue as the Chairman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but will step down as Chief Executive Officer of the Company and as a director and officer of the Principal Subsidiaries; and</w:t>
      </w:r>
    </w:p>
    <w:p>
      <w:pPr>
        <w:spacing w:after="0" w:line="127"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 with the execution of this Amendment, the Company and Principal Subsidiaries are entering into an employment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and new Chief Executive Officer of the Company (the “</w:t>
      </w:r>
      <w:r>
        <w:rPr>
          <w:rFonts w:ascii="Times New Roman" w:cs="Times New Roman" w:eastAsia="Times New Roman" w:hAnsi="Times New Roman"/>
          <w:sz w:val="18"/>
          <w:szCs w:val="18"/>
          <w:u w:val="single" w:color="auto"/>
          <w:color w:val="auto"/>
        </w:rPr>
        <w:t>President and Chief Executive Officer</w:t>
      </w:r>
      <w:r>
        <w:rPr>
          <w:rFonts w:ascii="Times New Roman" w:cs="Times New Roman" w:eastAsia="Times New Roman" w:hAnsi="Times New Roman"/>
          <w:sz w:val="18"/>
          <w:szCs w:val="18"/>
          <w:color w:val="auto"/>
        </w:rPr>
        <w:t>”), effective as of March 8, 2010; and</w:t>
      </w:r>
    </w:p>
    <w:p>
      <w:pPr>
        <w:spacing w:after="0" w:line="116" w:lineRule="exact"/>
        <w:rPr>
          <w:sz w:val="20"/>
          <w:szCs w:val="20"/>
          <w:color w:val="auto"/>
        </w:rPr>
      </w:pPr>
    </w:p>
    <w:p>
      <w:pPr>
        <w:ind w:right="5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has asked the Executive to continue employment with the Company through January 10, 2011, in the position of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to the President and Chief Executive Officer; and</w:t>
      </w:r>
    </w:p>
    <w:p>
      <w:pPr>
        <w:spacing w:after="0" w:line="116" w:lineRule="exact"/>
        <w:rPr>
          <w:sz w:val="20"/>
          <w:szCs w:val="20"/>
          <w:color w:val="auto"/>
        </w:rPr>
      </w:pPr>
    </w:p>
    <w:p>
      <w:pPr>
        <w:ind w:right="3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Executive has agreed to continue employment with the Company through January 10, 2011 in the position of Special Advisor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the terms of which employment have been mutually agreed upon between the Executive and the Company, as set forth below in the form of the First Amendment to the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173" w:lineRule="exact"/>
        <w:rPr>
          <w:sz w:val="20"/>
          <w:szCs w:val="20"/>
          <w:color w:val="auto"/>
        </w:rPr>
      </w:pPr>
    </w:p>
    <w:p>
      <w:pPr>
        <w:ind w:left="940" w:hanging="476"/>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terms set forth in the Agreement and Recitals above are incorporated by reference in the First Amendment.</w:t>
      </w:r>
    </w:p>
    <w:p>
      <w:pPr>
        <w:spacing w:after="0" w:line="171" w:lineRule="exact"/>
        <w:rPr>
          <w:rFonts w:ascii="Times New Roman" w:cs="Times New Roman" w:eastAsia="Times New Roman" w:hAnsi="Times New Roman"/>
          <w:sz w:val="18"/>
          <w:szCs w:val="18"/>
          <w:color w:val="auto"/>
        </w:rPr>
      </w:pPr>
    </w:p>
    <w:p>
      <w:pPr>
        <w:ind w:left="940" w:hanging="476"/>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Agreement (“Employment”) is amended and restated to read as follows:</w:t>
      </w:r>
    </w:p>
    <w:p>
      <w:pPr>
        <w:spacing w:after="0" w:line="171" w:lineRule="exact"/>
        <w:rPr>
          <w:sz w:val="20"/>
          <w:szCs w:val="20"/>
          <w:color w:val="auto"/>
        </w:rPr>
      </w:pPr>
    </w:p>
    <w:p>
      <w:pPr>
        <w:ind w:left="700" w:right="40" w:firstLine="422"/>
        <w:spacing w:after="0" w:line="262" w:lineRule="auto"/>
        <w:tabs>
          <w:tab w:leader="none" w:pos="16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Subject to the terms and conditions set forth in the Agreement and this First Amendment, the Company hereby offers and the Executive hereby accepts employment in the position of Special Advisor to the President and Chief Executive Officer of the Company and shall no longer serve in the position of Chief Executive Officer of the Company, both effective as of March 8, 2010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1440" w:gutter="0" w:footer="0" w:header="0"/>
        </w:sectPr>
      </w:pPr>
    </w:p>
    <w:bookmarkStart w:id="96" w:name="page97"/>
    <w:bookmarkEnd w:id="96"/>
    <w:p>
      <w:pPr>
        <w:ind w:left="480" w:hanging="476"/>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of the Agreement (“Term”) is amended by the addition of a new final sentence to read as follows:</w:t>
      </w:r>
    </w:p>
    <w:p>
      <w:pPr>
        <w:spacing w:after="0" w:line="17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identified, certain provisions of the Agreement and this First Amendment shall continue in full force and effect after the term of the Agreement has ended.</w:t>
      </w:r>
    </w:p>
    <w:p>
      <w:pPr>
        <w:spacing w:after="0" w:line="120" w:lineRule="exact"/>
        <w:rPr>
          <w:sz w:val="20"/>
          <w:szCs w:val="20"/>
          <w:color w:val="auto"/>
        </w:rPr>
      </w:pPr>
    </w:p>
    <w:p>
      <w:pPr>
        <w:ind w:right="3260" w:firstLine="4"/>
        <w:spacing w:after="0" w:line="438" w:lineRule="auto"/>
        <w:tabs>
          <w:tab w:leader="none" w:pos="4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 of the Agreement (“Capacity and Performance”) is amended and restated to read as follows: </w:t>
      </w:r>
      <w:r>
        <w:rPr>
          <w:rFonts w:ascii="Times New Roman" w:cs="Times New Roman" w:eastAsia="Times New Roman" w:hAnsi="Times New Roman"/>
          <w:sz w:val="18"/>
          <w:szCs w:val="18"/>
          <w:u w:val="single" w:color="auto"/>
          <w:color w:val="auto"/>
        </w:rPr>
        <w:t>Capacity and Performance</w:t>
      </w:r>
    </w:p>
    <w:p>
      <w:pPr>
        <w:spacing w:after="0" w:line="1" w:lineRule="exact"/>
        <w:rPr>
          <w:sz w:val="20"/>
          <w:szCs w:val="20"/>
          <w:color w:val="auto"/>
        </w:rPr>
      </w:pPr>
    </w:p>
    <w:p>
      <w:pPr>
        <w:jc w:val="both"/>
        <w:ind w:left="460" w:right="160" w:firstLine="420"/>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 During the term hereof, the Executive shall serve the Company in the position of Special Advisor to the President and Chief Executive Officer of the Company. In such capacity, the Executive shall assist the President and Chief Executive Officer in the transition of duties, including financial reporting, financial structure and other identified initiatives.</w:t>
      </w:r>
    </w:p>
    <w:p>
      <w:pPr>
        <w:spacing w:after="0" w:line="132" w:lineRule="exact"/>
        <w:rPr>
          <w:sz w:val="20"/>
          <w:szCs w:val="20"/>
          <w:color w:val="auto"/>
        </w:rPr>
      </w:pPr>
    </w:p>
    <w:p>
      <w:pPr>
        <w:ind w:left="460" w:right="40" w:firstLine="420"/>
        <w:spacing w:after="0" w:line="27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During the term hereof, the Executive shall perform and discharge, faithfully and diligently and to the best of his ability, his duties and responsibilities hereunder.</w:t>
      </w:r>
    </w:p>
    <w:p>
      <w:pPr>
        <w:spacing w:after="0" w:line="120" w:lineRule="exact"/>
        <w:rPr>
          <w:sz w:val="20"/>
          <w:szCs w:val="20"/>
          <w:color w:val="auto"/>
        </w:rPr>
      </w:pPr>
    </w:p>
    <w:p>
      <w:pPr>
        <w:ind w:left="480" w:hanging="476"/>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of the Agreement (“Compensation and Benefits”) is amended and restated to read as follows:</w:t>
      </w:r>
    </w:p>
    <w:p>
      <w:pPr>
        <w:spacing w:after="0" w:line="171" w:lineRule="exact"/>
        <w:rPr>
          <w:rFonts w:ascii="Times New Roman" w:cs="Times New Roman" w:eastAsia="Times New Roman" w:hAnsi="Times New Roman"/>
          <w:sz w:val="18"/>
          <w:szCs w:val="18"/>
          <w:color w:val="auto"/>
        </w:rPr>
      </w:pPr>
    </w:p>
    <w:p>
      <w:pPr>
        <w:ind w:right="620" w:firstLine="662"/>
        <w:spacing w:after="0" w:line="275"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As compensation for all services performed by the Executive under this Agreement and subject to the performance of the Executive’s duties and obligations to the Company and its Affiliates, pursuant to this Agreement or otherwise:</w:t>
      </w:r>
    </w:p>
    <w:p>
      <w:pPr>
        <w:spacing w:after="0" w:line="120" w:lineRule="exact"/>
        <w:rPr>
          <w:sz w:val="20"/>
          <w:szCs w:val="20"/>
          <w:color w:val="auto"/>
        </w:rPr>
      </w:pPr>
    </w:p>
    <w:p>
      <w:pPr>
        <w:ind w:left="680" w:firstLine="616"/>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Between March 8, 2010 and March 31, 2010, the Company shall pay the Executive the same base salary in the same manner as the Executive was receiving his base salary on March 7, 2010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Commencing on and after April 1, 2010, the Company shall pay the Executive an adjusted base salary of $25,000 per month, payable in accordance with the payroll practices of the Company for its executives (the “</w:t>
      </w:r>
      <w:r>
        <w:rPr>
          <w:rFonts w:ascii="Times New Roman" w:cs="Times New Roman" w:eastAsia="Times New Roman" w:hAnsi="Times New Roman"/>
          <w:sz w:val="18"/>
          <w:szCs w:val="18"/>
          <w:u w:val="single" w:color="auto"/>
          <w:color w:val="auto"/>
        </w:rPr>
        <w:t>Adjusted Base Salary</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680" w:right="60" w:firstLine="616"/>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Bonus Compensation</w:t>
      </w:r>
      <w:r>
        <w:rPr>
          <w:rFonts w:ascii="Times New Roman" w:cs="Times New Roman" w:eastAsia="Times New Roman" w:hAnsi="Times New Roman"/>
          <w:sz w:val="18"/>
          <w:szCs w:val="18"/>
          <w:color w:val="auto"/>
        </w:rPr>
        <w:t>. The Executive shall continue to participate in the Company’s Senior Executive Annual Incentive Plan, as it may be amended from time to time, pursuant to the terms thereof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shall continue to be eligible for a bonus award thereunder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purposes of the Plan, (i) the Executive shall continue to be eligible for a Bonus (as defined in the</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700" w:top="274" w:right="279" w:bottom="1440" w:gutter="0" w:footer="0" w:header="0"/>
        </w:sectPr>
      </w:pPr>
    </w:p>
    <w:bookmarkStart w:id="97" w:name="page98"/>
    <w:bookmarkEnd w:id="97"/>
    <w:p>
      <w:pPr>
        <w:ind w:left="1140" w:right="4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and the Executive’s Specified Percentage (as defined in the Plan) shall be 200% of his Base Salary as in effect on March 31, 2010, pro-rated for service through March 31, 2010 but based on the performance of the Company through the end of the 2010 fiscal year. Any Bonus payable to the Executive shall be prorated for the period of service ending March 31, 2010, and such proration shall be calculated by multiplying</w:t>
      </w:r>
    </w:p>
    <w:p>
      <w:pPr>
        <w:spacing w:after="0" w:line="1" w:lineRule="exact"/>
        <w:rPr>
          <w:sz w:val="20"/>
          <w:szCs w:val="20"/>
          <w:color w:val="auto"/>
        </w:rPr>
      </w:pPr>
    </w:p>
    <w:p>
      <w:pPr>
        <w:ind w:left="1140" w:right="20" w:firstLine="9"/>
        <w:spacing w:after="0" w:line="254" w:lineRule="auto"/>
        <w:tabs>
          <w:tab w:leader="none" w:pos="13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Bonus otherwise payable for the applicable fiscal year in accordance with this Sub-Section 4.2 by (y) a fraction, the denominator of which shall be 365, and the numerator of which shall be the number of days of the fiscal year through March 31, 2010. Provided, however, that any Bonus payable to the Executive shall be paid at the same time as bonuses are paid to other Executives under the Plan as provided in the Plan document.</w:t>
      </w:r>
    </w:p>
    <w:p>
      <w:pPr>
        <w:spacing w:after="0" w:line="137" w:lineRule="exact"/>
        <w:rPr>
          <w:rFonts w:ascii="Times New Roman" w:cs="Times New Roman" w:eastAsia="Times New Roman" w:hAnsi="Times New Roman"/>
          <w:sz w:val="18"/>
          <w:szCs w:val="18"/>
          <w:color w:val="auto"/>
        </w:rPr>
      </w:pPr>
    </w:p>
    <w:p>
      <w:pPr>
        <w:ind w:left="940" w:hanging="476"/>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4.5.1 and 4.5.2 (“Other Benefits”) and 4.6 (“Business Expenses”) are amended to delete all references to benefit plans of Principal</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58" w:lineRule="exact"/>
        <w:rPr>
          <w:rFonts w:ascii="Times New Roman" w:cs="Times New Roman" w:eastAsia="Times New Roman" w:hAnsi="Times New Roman"/>
          <w:sz w:val="18"/>
          <w:szCs w:val="18"/>
          <w:color w:val="auto"/>
        </w:rPr>
      </w:pPr>
    </w:p>
    <w:p>
      <w:pPr>
        <w:ind w:left="940" w:hanging="476"/>
        <w:spacing w:after="0"/>
        <w:tabs>
          <w:tab w:leader="none" w:pos="9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 4.5.2 of the Agreement (“Other Benefits”) is amended by the addition of two new sentences at the end of Sub-Section 4.5.2 to read as</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ind w:left="1940"/>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 Executive and his spouse elect to be covered under the University of Michigan’s healthcare plan while the Executive is employed by the University of Michigan, such healthcare benefits that he and his spouse receive from the University of Michigan shall constitute their primary healthcare coverage and the post-employment Health Benefit provided and paid for by the Company under this Sub-Section 4.5.2 shall be deemed to constitute secondary coverage. The Health Benefit coverage provided hereunder shall be deemed to constitute primary coverage if the Executive and his spouse elect not to be covered under the University of Michigan’s healthcare plan or when the Executive and his spouse no longer are covered under the University of Michigan’s healthcare plan.</w:t>
      </w:r>
    </w:p>
    <w:p>
      <w:pPr>
        <w:spacing w:after="0" w:line="141" w:lineRule="exact"/>
        <w:rPr>
          <w:sz w:val="20"/>
          <w:szCs w:val="20"/>
          <w:color w:val="auto"/>
        </w:rPr>
      </w:pPr>
    </w:p>
    <w:p>
      <w:pPr>
        <w:ind w:left="940" w:hanging="476"/>
        <w:spacing w:after="0"/>
        <w:tabs>
          <w:tab w:leader="none" w:pos="9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 4.7.3 of the Agreement (“Miscellaneous”) is amended by the addition of two new sentences at the end of Sub-Section 4.7.3 to read as</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ind w:left="1940" w:right="120"/>
        <w:spacing w:after="0" w:line="262" w:lineRule="auto"/>
        <w:rPr>
          <w:sz w:val="20"/>
          <w:szCs w:val="20"/>
          <w:color w:val="auto"/>
        </w:rPr>
      </w:pPr>
      <w:r>
        <w:rPr>
          <w:rFonts w:ascii="Times New Roman" w:cs="Times New Roman" w:eastAsia="Times New Roman" w:hAnsi="Times New Roman"/>
          <w:sz w:val="18"/>
          <w:szCs w:val="18"/>
          <w:color w:val="auto"/>
        </w:rPr>
        <w:t>Notwithstanding the foregoing, the Company shall continue to furnish the Executive (and his spouse when accompanying him) with transportation that provides them with security to address business related concerns, and Yearly Aircraft Hours through the first to occur of the end of fiscal year 2011, or the date on which the Executive ceases to serve on the Board.</w:t>
      </w:r>
    </w:p>
    <w:p>
      <w:pPr>
        <w:spacing w:after="0" w:line="132" w:lineRule="exact"/>
        <w:rPr>
          <w:sz w:val="20"/>
          <w:szCs w:val="20"/>
          <w:color w:val="auto"/>
        </w:rPr>
      </w:pPr>
    </w:p>
    <w:p>
      <w:pPr>
        <w:ind w:left="940" w:hanging="476"/>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Sub-Section 4.7.5 is added to the Agreement to read as follows:</w:t>
      </w:r>
    </w:p>
    <w:p>
      <w:pPr>
        <w:spacing w:after="0" w:line="171" w:lineRule="exact"/>
        <w:rPr>
          <w:sz w:val="20"/>
          <w:szCs w:val="20"/>
          <w:color w:val="auto"/>
        </w:rPr>
      </w:pPr>
    </w:p>
    <w:p>
      <w:pPr>
        <w:ind w:left="1720" w:right="380" w:firstLine="582"/>
        <w:spacing w:after="0" w:line="275" w:lineRule="auto"/>
        <w:rPr>
          <w:sz w:val="20"/>
          <w:szCs w:val="20"/>
          <w:color w:val="auto"/>
        </w:rPr>
      </w:pPr>
      <w:r>
        <w:rPr>
          <w:rFonts w:ascii="Times New Roman" w:cs="Times New Roman" w:eastAsia="Times New Roman" w:hAnsi="Times New Roman"/>
          <w:sz w:val="18"/>
          <w:szCs w:val="18"/>
          <w:color w:val="auto"/>
        </w:rPr>
        <w:t>4.7.5. During the term of the Agreement and as long as the Executive serves on the Board, the Company shall continue to provide the Executive with (including full technical support) a cellular phone and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274" w:right="299" w:bottom="1440" w:gutter="0" w:footer="0" w:header="0"/>
        </w:sectPr>
      </w:pPr>
    </w:p>
    <w:bookmarkStart w:id="98" w:name="page99"/>
    <w:bookmarkEnd w:id="98"/>
    <w:p>
      <w:pPr>
        <w:ind w:left="1260" w:right="24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personal digital assistant (currently an Apple i-phone), laptop computer, desk top computer and computer printer/fax machine at the Executive’s home, ownership of which shall be transferred from the Company to the Executive when he ceases to serve on the Board.</w:t>
      </w:r>
    </w:p>
    <w:p>
      <w:pPr>
        <w:spacing w:after="0" w:line="74" w:lineRule="exact"/>
        <w:rPr>
          <w:sz w:val="20"/>
          <w:szCs w:val="20"/>
          <w:color w:val="auto"/>
        </w:rPr>
      </w:pPr>
    </w:p>
    <w:p>
      <w:pPr>
        <w:ind w:left="580" w:hanging="576"/>
        <w:spacing w:after="0"/>
        <w:tabs>
          <w:tab w:leader="none" w:pos="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5.5 of the Agreement (“By the Executive for Good Reason”) is amended and restated to read as follows:</w:t>
      </w:r>
    </w:p>
    <w:p>
      <w:pPr>
        <w:spacing w:after="0" w:line="171" w:lineRule="exact"/>
        <w:rPr>
          <w:sz w:val="20"/>
          <w:szCs w:val="20"/>
          <w:color w:val="auto"/>
        </w:rPr>
      </w:pPr>
    </w:p>
    <w:p>
      <w:pPr>
        <w:ind w:left="680" w:firstLine="411"/>
        <w:spacing w:after="0" w:line="287"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By the Executive for Good Reason</w:t>
      </w:r>
      <w:r>
        <w:rPr>
          <w:rFonts w:ascii="Times New Roman" w:cs="Times New Roman" w:eastAsia="Times New Roman" w:hAnsi="Times New Roman"/>
          <w:sz w:val="16"/>
          <w:szCs w:val="16"/>
          <w:color w:val="auto"/>
        </w:rPr>
        <w:t>. The Executive may terminate his employment hereunder for Good Reason upon notice to the Company setting forth in reasonable detail the nature of such Good Reason. The following shall constitute “Good Reason” for termination by the Executive: (i) failure of the Company to continue the Executive in the position of Special Advisor to the President and Chief Executive Officer;</w:t>
      </w:r>
    </w:p>
    <w:p>
      <w:pPr>
        <w:spacing w:after="0" w:line="1" w:lineRule="exact"/>
        <w:rPr>
          <w:sz w:val="20"/>
          <w:szCs w:val="20"/>
          <w:color w:val="auto"/>
        </w:rPr>
      </w:pPr>
    </w:p>
    <w:p>
      <w:pPr>
        <w:ind w:left="680" w:right="120" w:firstLine="9"/>
        <w:spacing w:after="0" w:line="252" w:lineRule="auto"/>
        <w:tabs>
          <w:tab w:leader="none" w:pos="93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diminution in the nature and scope of the Executive’s responsibilities, duties or authority, including without limitation the failure to continue the Executive as a member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so continue the Executive on the Board shall not constitute Good Reason if such failure occurs in connection with the sale of other disposition of the Company; and provided further, that any diminution of the business of the Company or any of its Affiliates shall not constitute Good Reason; (iii) material failure of the Company to provide the Executive with the Base Salary and benefits (including the Company-sponsored fringe benefits) in accordance with the terms of Section 4 hereof; or (iv) relocation of the Executive’s office to an area outside a fifty (50) mile radius of the Company’s current headquarters in Ann Arbor, Michigan. In the event of termination in accordance with this Sub-Section 5.5, the Company shall pay the Executive the amounts specified in Sub-Section 5.4.</w:t>
      </w:r>
    </w:p>
    <w:p>
      <w:pPr>
        <w:spacing w:after="0" w:line="139" w:lineRule="exact"/>
        <w:rPr>
          <w:rFonts w:ascii="Times New Roman" w:cs="Times New Roman" w:eastAsia="Times New Roman" w:hAnsi="Times New Roman"/>
          <w:sz w:val="18"/>
          <w:szCs w:val="18"/>
          <w:color w:val="auto"/>
        </w:rPr>
      </w:pPr>
    </w:p>
    <w:p>
      <w:pPr>
        <w:ind w:left="560" w:hanging="556"/>
        <w:spacing w:after="0"/>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in Sub-Section 6.4 (“Survival of Certain Provisions”) is amended and restated to read as follows:</w:t>
      </w:r>
    </w:p>
    <w:p>
      <w:pPr>
        <w:spacing w:after="0" w:line="171" w:lineRule="exact"/>
        <w:rPr>
          <w:sz w:val="20"/>
          <w:szCs w:val="20"/>
          <w:color w:val="auto"/>
        </w:rPr>
      </w:pPr>
    </w:p>
    <w:p>
      <w:pPr>
        <w:ind w:left="680" w:right="20"/>
        <w:spacing w:after="0" w:line="275" w:lineRule="auto"/>
        <w:rPr>
          <w:sz w:val="20"/>
          <w:szCs w:val="20"/>
          <w:color w:val="auto"/>
        </w:rPr>
      </w:pPr>
      <w:r>
        <w:rPr>
          <w:rFonts w:ascii="Times New Roman" w:cs="Times New Roman" w:eastAsia="Times New Roman" w:hAnsi="Times New Roman"/>
          <w:sz w:val="18"/>
          <w:szCs w:val="18"/>
          <w:color w:val="auto"/>
        </w:rPr>
        <w:t>The Executive recognizes that, except as expressly provided in Sub-Sections 4.5.2., 4.7.3, 4.7.5, 5.2, 5.4 and 5.5, no compensation is earned after termination of employment.</w:t>
      </w:r>
    </w:p>
    <w:p>
      <w:pPr>
        <w:spacing w:after="0" w:line="120" w:lineRule="exact"/>
        <w:rPr>
          <w:sz w:val="20"/>
          <w:szCs w:val="20"/>
          <w:color w:val="auto"/>
        </w:rPr>
      </w:pPr>
    </w:p>
    <w:p>
      <w:pPr>
        <w:ind w:left="560" w:hanging="556"/>
        <w:spacing w:after="0"/>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last sentence shall be added to Sub-Section 7.2 to read as follows:</w:t>
      </w:r>
    </w:p>
    <w:p>
      <w:pPr>
        <w:spacing w:after="0" w:line="171" w:lineRule="exact"/>
        <w:rPr>
          <w:sz w:val="20"/>
          <w:szCs w:val="20"/>
          <w:color w:val="auto"/>
        </w:rPr>
      </w:pPr>
    </w:p>
    <w:p>
      <w:pPr>
        <w:ind w:left="680" w:right="46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the foregoing, the Executive shall not be required to surrender the Documents to the Company as long as the Executive continues to serve on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Documents shall be surrendered at the later to occur of the time the Executive terminates employment with the Company or ceases to serve on the Board.</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700" w:top="274" w:right="299" w:bottom="1440" w:gutter="0" w:footer="0" w:header="0"/>
        </w:sectPr>
      </w:pPr>
    </w:p>
    <w:bookmarkStart w:id="99" w:name="page100"/>
    <w:bookmarkEnd w:id="99"/>
    <w:p>
      <w:pPr>
        <w:ind w:left="1040" w:hanging="576"/>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Sub-Section 13.5 is amended and restated to read as follows:</w:t>
      </w:r>
    </w:p>
    <w:p>
      <w:pPr>
        <w:spacing w:after="0" w:line="171" w:lineRule="exact"/>
        <w:rPr>
          <w:sz w:val="20"/>
          <w:szCs w:val="20"/>
          <w:color w:val="auto"/>
        </w:rPr>
      </w:pPr>
    </w:p>
    <w:p>
      <w:pPr>
        <w:ind w:left="1140" w:right="180" w:firstLine="411"/>
        <w:spacing w:after="0" w:line="26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First Amendment constitute the entire agreement between the parties and supersede all prior communications, agreements ad understandings, written or oral, with the Company, its Affiliates or any of their predecessors, with respect to the terms and conditions of the Executive’s employment.</w:t>
      </w:r>
    </w:p>
    <w:p>
      <w:pPr>
        <w:spacing w:after="0" w:line="132" w:lineRule="exact"/>
        <w:rPr>
          <w:sz w:val="20"/>
          <w:szCs w:val="20"/>
          <w:color w:val="auto"/>
        </w:rPr>
      </w:pPr>
    </w:p>
    <w:p>
      <w:pPr>
        <w:ind w:left="1020" w:hanging="556"/>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in the Agreement not revised herein remain in full force and effect.</w:t>
      </w:r>
    </w:p>
    <w:p>
      <w:pPr>
        <w:spacing w:after="0" w:line="169" w:lineRule="exact"/>
        <w:rPr>
          <w:sz w:val="20"/>
          <w:szCs w:val="20"/>
          <w:color w:val="auto"/>
        </w:rPr>
      </w:pPr>
    </w:p>
    <w:p>
      <w:pPr>
        <w:ind w:right="7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on behalf of the Company and the Principal Subsidiaries by their respective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and by the Executive, as of the date first above written.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94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DOMINO’S PIZZA, INC.</w:t>
            </w:r>
          </w:p>
        </w:tc>
      </w:tr>
      <w:tr>
        <w:trPr>
          <w:trHeight w:val="432"/>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 Robert M. Rosenberg</w:t>
            </w:r>
          </w:p>
        </w:tc>
      </w:tr>
      <w:tr>
        <w:trPr>
          <w:trHeight w:val="120"/>
        </w:trPr>
        <w:tc>
          <w:tcPr>
            <w:tcW w:w="4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07"/>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Robert M. Rosenberg</w:t>
            </w:r>
          </w:p>
        </w:tc>
      </w:tr>
      <w:tr>
        <w:trPr>
          <w:trHeight w:val="228"/>
        </w:trPr>
        <w:tc>
          <w:tcPr>
            <w:tcW w:w="40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SUBSIDIARIES:</w:t>
            </w:r>
          </w:p>
        </w:tc>
        <w:tc>
          <w:tcPr>
            <w:tcW w:w="19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DOMINO’S, INC.</w:t>
            </w:r>
          </w:p>
        </w:tc>
      </w:tr>
      <w:tr>
        <w:trPr>
          <w:trHeight w:val="432"/>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 Wendy A. Beck</w:t>
            </w:r>
          </w:p>
        </w:tc>
      </w:tr>
      <w:tr>
        <w:trPr>
          <w:trHeight w:val="120"/>
        </w:trPr>
        <w:tc>
          <w:tcPr>
            <w:tcW w:w="4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07"/>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Wendy A. Beck</w:t>
            </w:r>
          </w:p>
        </w:tc>
      </w:tr>
      <w:tr>
        <w:trPr>
          <w:trHeight w:val="216"/>
        </w:trPr>
        <w:tc>
          <w:tcPr>
            <w:tcW w:w="4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8"/>
        </w:trPr>
        <w:tc>
          <w:tcPr>
            <w:tcW w:w="40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46"/>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DOMINO’S PIZZA LLC</w:t>
            </w:r>
          </w:p>
        </w:tc>
      </w:tr>
      <w:tr>
        <w:trPr>
          <w:trHeight w:val="432"/>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 Wendy A. Beck</w:t>
            </w:r>
          </w:p>
        </w:tc>
      </w:tr>
      <w:tr>
        <w:trPr>
          <w:trHeight w:val="120"/>
        </w:trPr>
        <w:tc>
          <w:tcPr>
            <w:tcW w:w="4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07"/>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Wendy A. Beck</w:t>
            </w:r>
          </w:p>
        </w:tc>
      </w:tr>
      <w:tr>
        <w:trPr>
          <w:trHeight w:val="216"/>
        </w:trPr>
        <w:tc>
          <w:tcPr>
            <w:tcW w:w="4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8"/>
        </w:trPr>
        <w:tc>
          <w:tcPr>
            <w:tcW w:w="40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EXECUTIVE:</w:t>
            </w:r>
          </w:p>
        </w:tc>
        <w:tc>
          <w:tcPr>
            <w:tcW w:w="19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Brandon</w:t>
            </w:r>
          </w:p>
        </w:tc>
      </w:tr>
      <w:tr>
        <w:trPr>
          <w:trHeight w:val="120"/>
        </w:trPr>
        <w:tc>
          <w:tcPr>
            <w:tcW w:w="4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80" w:type="dxa"/>
            <w:vAlign w:val="bottom"/>
            <w:tcBorders>
              <w:bottom w:val="single" w:sz="8" w:color="808080"/>
            </w:tcBorders>
            <w:gridSpan w:val="2"/>
          </w:tcPr>
          <w:p>
            <w:pPr>
              <w:spacing w:after="0"/>
              <w:rPr>
                <w:sz w:val="10"/>
                <w:szCs w:val="10"/>
                <w:color w:val="auto"/>
              </w:rPr>
            </w:pPr>
          </w:p>
        </w:tc>
      </w:tr>
      <w:tr>
        <w:trPr>
          <w:trHeight w:val="319"/>
        </w:trPr>
        <w:tc>
          <w:tcPr>
            <w:tcW w:w="4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David A. Brandon</w:t>
            </w:r>
          </w:p>
        </w:tc>
      </w:tr>
      <w:tr>
        <w:trPr>
          <w:trHeight w:val="365"/>
        </w:trPr>
        <w:tc>
          <w:tcPr>
            <w:tcW w:w="4000" w:type="dxa"/>
            <w:vAlign w:val="bottom"/>
          </w:tcPr>
          <w:p>
            <w:pPr>
              <w:spacing w:after="0"/>
              <w:rPr>
                <w:sz w:val="24"/>
                <w:szCs w:val="24"/>
                <w:color w:val="auto"/>
              </w:rPr>
            </w:pP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-3389630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-3389630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-2412365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-1289050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-1289050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-448310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-448310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10.40</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7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February 25, 2010, effective as of March 8, 2010 among Domino’s Pizza,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Domino’s, Inc., a Delaware corporation (“</w:t>
      </w:r>
      <w:r>
        <w:rPr>
          <w:rFonts w:ascii="Times New Roman" w:cs="Times New Roman" w:eastAsia="Times New Roman" w:hAnsi="Times New Roman"/>
          <w:sz w:val="18"/>
          <w:szCs w:val="18"/>
          <w:u w:val="single" w:color="auto"/>
          <w:color w:val="auto"/>
        </w:rPr>
        <w:t>DI</w:t>
      </w:r>
      <w:r>
        <w:rPr>
          <w:rFonts w:ascii="Times New Roman" w:cs="Times New Roman" w:eastAsia="Times New Roman" w:hAnsi="Times New Roman"/>
          <w:sz w:val="18"/>
          <w:szCs w:val="18"/>
          <w:color w:val="auto"/>
        </w:rPr>
        <w:t>”) and Domino’s Pizza, LLC, a Michigan limited liability company (“</w:t>
      </w:r>
      <w:r>
        <w:rPr>
          <w:rFonts w:ascii="Times New Roman" w:cs="Times New Roman" w:eastAsia="Times New Roman" w:hAnsi="Times New Roman"/>
          <w:sz w:val="18"/>
          <w:szCs w:val="18"/>
          <w:u w:val="single" w:color="auto"/>
          <w:color w:val="auto"/>
        </w:rPr>
        <w:t>DPLLC</w:t>
      </w:r>
      <w:r>
        <w:rPr>
          <w:rFonts w:ascii="Times New Roman" w:cs="Times New Roman" w:eastAsia="Times New Roman" w:hAnsi="Times New Roman"/>
          <w:sz w:val="18"/>
          <w:szCs w:val="18"/>
          <w:color w:val="auto"/>
        </w:rPr>
        <w:t>” and, together with DI, the “</w:t>
      </w:r>
      <w:r>
        <w:rPr>
          <w:rFonts w:ascii="Times New Roman" w:cs="Times New Roman" w:eastAsia="Times New Roman" w:hAnsi="Times New Roman"/>
          <w:sz w:val="18"/>
          <w:szCs w:val="18"/>
          <w:u w:val="single" w:color="auto"/>
          <w:color w:val="auto"/>
        </w:rPr>
        <w:t>Principal Subsidiaries</w:t>
      </w:r>
      <w:r>
        <w:rPr>
          <w:rFonts w:ascii="Times New Roman" w:cs="Times New Roman" w:eastAsia="Times New Roman" w:hAnsi="Times New Roman"/>
          <w:sz w:val="18"/>
          <w:szCs w:val="18"/>
          <w:color w:val="auto"/>
        </w:rPr>
        <w:t>”) and J. Patrick Doyle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90" w:lineRule="exact"/>
        <w:rPr>
          <w:sz w:val="20"/>
          <w:szCs w:val="20"/>
          <w:color w:val="auto"/>
        </w:rPr>
      </w:pPr>
    </w:p>
    <w:p>
      <w:pPr>
        <w:ind w:left="900" w:hanging="446"/>
        <w:spacing w:after="0" w:line="275"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Affiliates (as defined in Sub-Section 11.1) are a complex matter requiring direction and leadership in a variety of areas.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experience and expertise that qualify him to provide the direction and leadership required by the Company and its Affiliates.</w:t>
      </w:r>
    </w:p>
    <w:p>
      <w:pPr>
        <w:spacing w:after="0" w:line="90"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below, the Company and the Principal Subsidiaries wish to employ the Executive as its President and Chief Executive Officer and the Executive wishes to accept such employment.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right="740" w:hanging="446"/>
        <w:spacing w:after="0" w:line="275"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Subject to the terms and conditions set forth in this Agreement, the Company hereby offers and the Executive hereby accepts employment as President and Chief Executive Officer of the Company, effective as of March 8, 2010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earlier termination as hereafter provided, the Executive shall be employed hereunder for a term commencing on the Effective Date and ending on March 7, 2013. The term of the Executive’s employment under this Agreement is hereafter referred to as “the term of this Agreement” or “the term hereof.”</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 and Performance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80" w:right="100" w:hanging="56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 During the term hereof, the Executive shall serve the Company in the office of President and Chief Executive Officer. In such capacity, the Executive shall be responsible for the Company’s operations and financial performance and the coordination of the Company’s strategic direction. In addition, for as long as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1440" w:gutter="0" w:footer="0" w:header="0"/>
        </w:sectPr>
      </w:pPr>
    </w:p>
    <w:bookmarkStart w:id="101" w:name="page102"/>
    <w:bookmarkEnd w:id="101"/>
    <w:p>
      <w:pPr>
        <w:ind w:left="1026"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is employed by the Company and without further compensation, the Executive shall, if so elected or appointed from time to time, serve as a member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as a director and officer of the Principal Subsidiaries and of one or more of the Company’s other Affiliates. The Executive shall be subject to the direction of the Board and shall have such other powers, duties and responsibilities consistent with the Executive’s position as President and Chief Executive Officer as may from time to time be prescribed by the Board.</w:t>
      </w:r>
    </w:p>
    <w:p>
      <w:pPr>
        <w:spacing w:after="0" w:line="58" w:lineRule="exact"/>
        <w:rPr>
          <w:sz w:val="20"/>
          <w:szCs w:val="20"/>
          <w:color w:val="auto"/>
        </w:rPr>
      </w:pPr>
    </w:p>
    <w:p>
      <w:pPr>
        <w:ind w:left="1026" w:right="20" w:hanging="566"/>
        <w:spacing w:after="0" w:line="254" w:lineRule="auto"/>
        <w:tabs>
          <w:tab w:leader="none" w:pos="1006"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During the term hereof, the Executive shall be employed by the Company on a full-time basis and shall perform and discharge,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faithfully, diligently and to the best of his ability, his duties and responsibilities hereunder. During the term hereof, the Executive shall devote his full business time exclusively to the advancement of the business and interests of the Company and its Affiliates and to the discharge of his duties and responsibilities hereunder. The Executive shall not engage in any other business activity or serve in any industry, trade, professional, governmental, political, charitable or academic position during the term of this Agreement, except for such directorships or other positions which he currently holds and has disclosed to the Company on Exhibit 3.2 hereof and except as otherwise may be approved in advance by the Board, which approval shall not be unreasonably withheld.</w:t>
      </w:r>
    </w:p>
    <w:p>
      <w:pPr>
        <w:spacing w:after="0" w:line="60" w:lineRule="exact"/>
        <w:rPr>
          <w:sz w:val="20"/>
          <w:szCs w:val="20"/>
          <w:color w:val="auto"/>
        </w:rPr>
      </w:pPr>
    </w:p>
    <w:p>
      <w:pPr>
        <w:ind w:left="446" w:right="240" w:hanging="446"/>
        <w:spacing w:after="0" w:line="275" w:lineRule="auto"/>
        <w:tabs>
          <w:tab w:leader="none" w:pos="4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As compensation for all services performed by the Executive under this Agreement and subject to performance of the Executive’s duties and obligations to the Company and its Affiliates, pursuant to this Agreement or otherwise:</w:t>
      </w:r>
    </w:p>
    <w:p>
      <w:pPr>
        <w:spacing w:after="0" w:line="38" w:lineRule="exact"/>
        <w:rPr>
          <w:rFonts w:ascii="Times New Roman" w:cs="Times New Roman" w:eastAsia="Times New Roman" w:hAnsi="Times New Roman"/>
          <w:sz w:val="18"/>
          <w:szCs w:val="18"/>
          <w:color w:val="auto"/>
        </w:rPr>
      </w:pPr>
    </w:p>
    <w:p>
      <w:pPr>
        <w:ind w:left="1026" w:right="320" w:hanging="56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hereof, the Company shall pay the Executive a base salary at the rate of $750,000 per year, payable in accordance with the payroll practices of the Company for its executives and subject to increase from time to time by the Board in its sole discretion. Such base salary, as from time to time increased, is hereafter referred to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ind w:left="1026" w:hanging="56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Bonus Compensation</w:t>
      </w:r>
      <w:r>
        <w:rPr>
          <w:rFonts w:ascii="Times New Roman" w:cs="Times New Roman" w:eastAsia="Times New Roman" w:hAnsi="Times New Roman"/>
          <w:sz w:val="18"/>
          <w:szCs w:val="18"/>
          <w:color w:val="auto"/>
        </w:rPr>
        <w:t>. During the term hereof, the Executive shall participate in the Company’s Senior Executive Annual Incentive Plan, as it may be amended from time to time pursuant to the terms thereof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 current copy of which is attached hereto as Exhibit 4.2) and shall be eligible for a bonus award thereunder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purposes of the Plan, the Executive shall be eligible for a Bonus (as defined in the Plan), and the Executive’s Specified Percentage (as defined in the Plan) shall be 200% of Base Salary. Whenever any Bonus payable to the Executive is stated in this Agreement to be prorated for any period of service less than a full year, such Bonus shall be prorated by multiplying (x) the amount of the Bonus otherwise payable for the applicable fiscal year in accordance with this Sub-Section 4.2 by (y) a fraction, the denominator of which shall be 365 and the numerator of which shall be the number of days during the applicable fiscal year for which the Executive was employed by the Company. Any compensation paid to the Executive as Bonus shall be in addition to the Base Salary.</w:t>
      </w:r>
    </w:p>
    <w:p>
      <w:pPr>
        <w:spacing w:after="0" w:line="130"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6"/>
          </w:cols>
          <w:pgMar w:left="694" w:top="274" w:right="239" w:bottom="1440" w:gutter="0" w:footer="0" w:header="0"/>
        </w:sectPr>
      </w:pPr>
    </w:p>
    <w:bookmarkStart w:id="102" w:name="page103"/>
    <w:bookmarkEnd w:id="102"/>
    <w:p>
      <w:pPr>
        <w:jc w:val="both"/>
        <w:ind w:left="560" w:right="80" w:hanging="566"/>
        <w:spacing w:after="0" w:line="262"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8"/>
          <w:szCs w:val="18"/>
          <w:u w:val="single" w:color="auto"/>
          <w:color w:val="auto"/>
        </w:rPr>
        <w:t>Equity and Other Incentive Compensation Awards</w:t>
      </w:r>
      <w:r>
        <w:rPr>
          <w:rFonts w:ascii="Times New Roman" w:cs="Times New Roman" w:eastAsia="Times New Roman" w:hAnsi="Times New Roman"/>
          <w:sz w:val="18"/>
          <w:szCs w:val="18"/>
          <w:color w:val="auto"/>
        </w:rPr>
        <w:t>. The Executive shall be eligible for stock and other incentive compensation awards under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Company’s 2004 Equity Incentive Plan, attached hereto as Exhibit A-1, as it may be amended from time to time (the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with the terms of his initial stock option and performance share grants set forth in Sub-Sections 4.3.1 and 4.3.2 below.</w:t>
      </w:r>
    </w:p>
    <w:p>
      <w:pPr>
        <w:spacing w:after="0" w:line="51" w:lineRule="exact"/>
        <w:rPr>
          <w:sz w:val="20"/>
          <w:szCs w:val="20"/>
          <w:color w:val="auto"/>
        </w:rPr>
      </w:pPr>
    </w:p>
    <w:p>
      <w:pPr>
        <w:ind w:left="1000" w:right="40" w:hanging="445"/>
        <w:spacing w:after="0" w:line="254" w:lineRule="auto"/>
        <w:rPr>
          <w:sz w:val="20"/>
          <w:szCs w:val="20"/>
          <w:color w:val="auto"/>
        </w:rPr>
      </w:pPr>
      <w:r>
        <w:rPr>
          <w:rFonts w:ascii="Times New Roman" w:cs="Times New Roman" w:eastAsia="Times New Roman" w:hAnsi="Times New Roman"/>
          <w:sz w:val="18"/>
          <w:szCs w:val="18"/>
          <w:color w:val="auto"/>
        </w:rPr>
        <w:t>4.3.1. Effective as of February 25, 2010, the Company shall grant to the Executive, pursuant to the Company’s Stock Plan, nonqualified stock options to purchase a total of 250,000 shares of the Company’s Common Stock at an exercise price per share equal to the fair market value of the Company’s Common Stock on the date of grant, as determined by the Compensation Committee in accordance with Code Section 409A, with a three (3) year graded vesting schedule where one-third (1/3) of the option shares vest each year on the anniversary date of the grant date and a five (5) year exercise period (the “</w:t>
      </w:r>
      <w:r>
        <w:rPr>
          <w:rFonts w:ascii="Times New Roman" w:cs="Times New Roman" w:eastAsia="Times New Roman" w:hAnsi="Times New Roman"/>
          <w:sz w:val="18"/>
          <w:szCs w:val="18"/>
          <w:u w:val="single" w:color="auto"/>
          <w:color w:val="auto"/>
        </w:rPr>
        <w:t>2010 Options</w:t>
      </w:r>
      <w:r>
        <w:rPr>
          <w:rFonts w:ascii="Times New Roman" w:cs="Times New Roman" w:eastAsia="Times New Roman" w:hAnsi="Times New Roman"/>
          <w:sz w:val="18"/>
          <w:szCs w:val="18"/>
          <w:color w:val="auto"/>
        </w:rPr>
        <w:t>”). The 2010 Options shall be granted only if the Executive is employed by the Company on the applicable grant date, pursuant to the option agreement substantially in the form of Exhibit A-2 hereto.</w:t>
      </w:r>
    </w:p>
    <w:p>
      <w:pPr>
        <w:spacing w:after="0" w:line="60" w:lineRule="exact"/>
        <w:rPr>
          <w:sz w:val="20"/>
          <w:szCs w:val="20"/>
          <w:color w:val="auto"/>
        </w:rPr>
      </w:pPr>
    </w:p>
    <w:p>
      <w:pPr>
        <w:ind w:left="1000" w:hanging="445"/>
        <w:spacing w:after="0" w:line="256" w:lineRule="auto"/>
        <w:rPr>
          <w:sz w:val="20"/>
          <w:szCs w:val="20"/>
          <w:color w:val="auto"/>
        </w:rPr>
      </w:pPr>
      <w:r>
        <w:rPr>
          <w:rFonts w:ascii="Times New Roman" w:cs="Times New Roman" w:eastAsia="Times New Roman" w:hAnsi="Times New Roman"/>
          <w:sz w:val="18"/>
          <w:szCs w:val="18"/>
          <w:color w:val="auto"/>
        </w:rPr>
        <w:t>4.3.2. Effective as of February 25, 2010, the Company shall grant to the Executive, pursuant to the Company’s Stock Plan, a performance share award for 75,000 shares of the Company’s Common Stock (“</w:t>
      </w:r>
      <w:r>
        <w:rPr>
          <w:rFonts w:ascii="Times New Roman" w:cs="Times New Roman" w:eastAsia="Times New Roman" w:hAnsi="Times New Roman"/>
          <w:sz w:val="18"/>
          <w:szCs w:val="18"/>
          <w:u w:val="single" w:color="auto"/>
          <w:color w:val="auto"/>
        </w:rPr>
        <w:t>2010 Performance Share Award</w:t>
      </w:r>
      <w:r>
        <w:rPr>
          <w:rFonts w:ascii="Times New Roman" w:cs="Times New Roman" w:eastAsia="Times New Roman" w:hAnsi="Times New Roman"/>
          <w:sz w:val="18"/>
          <w:szCs w:val="18"/>
          <w:color w:val="auto"/>
        </w:rPr>
        <w:t>”), subject to a three (3) year graded vesting schedule, where one-third (1/3) of the Performance Share Award vests each year on the anniversary date of the grant if the stated performance objectives are attained. The 2010 Performance Share Award shall be granted pursuant to a performance share award agreement substantially in the form of Exhibit A-3 hereto.</w:t>
      </w:r>
    </w:p>
    <w:p>
      <w:pPr>
        <w:spacing w:after="0" w:line="58" w:lineRule="exact"/>
        <w:rPr>
          <w:sz w:val="20"/>
          <w:szCs w:val="20"/>
          <w:color w:val="auto"/>
        </w:rPr>
      </w:pPr>
    </w:p>
    <w:p>
      <w:pPr>
        <w:ind w:left="560" w:right="340" w:hanging="566"/>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Vacations</w:t>
      </w:r>
      <w:r>
        <w:rPr>
          <w:rFonts w:ascii="Times New Roman" w:cs="Times New Roman" w:eastAsia="Times New Roman" w:hAnsi="Times New Roman"/>
          <w:sz w:val="18"/>
          <w:szCs w:val="18"/>
          <w:color w:val="auto"/>
        </w:rPr>
        <w:t>. During the term hereof, the Executive shall be entitled to four (4) weeks of vacation per annum, to be taken at such times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intervals as shall be determined by the Executive, subject to the reasonable business needs of the Company. The Executive may not accumulate or carry over from one (1) calendar year to another any unused, accrued vacation time. The Executive shall not be entitled to compensation for vacation time not taken.</w:t>
      </w:r>
    </w:p>
    <w:p>
      <w:pPr>
        <w:spacing w:after="0" w:line="5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6"/>
          <w:szCs w:val="16"/>
          <w:u w:val="single" w:color="auto"/>
          <w:color w:val="auto"/>
        </w:rPr>
        <w:t>Other Benefits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000" w:right="380" w:hanging="445"/>
        <w:spacing w:after="0" w:line="262" w:lineRule="auto"/>
        <w:rPr>
          <w:sz w:val="20"/>
          <w:szCs w:val="20"/>
          <w:color w:val="auto"/>
        </w:rPr>
      </w:pPr>
      <w:r>
        <w:rPr>
          <w:rFonts w:ascii="Times New Roman" w:cs="Times New Roman" w:eastAsia="Times New Roman" w:hAnsi="Times New Roman"/>
          <w:sz w:val="18"/>
          <w:szCs w:val="18"/>
          <w:color w:val="auto"/>
        </w:rPr>
        <w:t>4.5.1. During the term hereof and subject to any contribution therefor generally required of executives of the Company or one of the Principal Subsidiaries, as applicable, the Executive shall be entitled to participate in all employee benefit plans, including without limitation any 401(k) plan, from time</w:t>
      </w:r>
    </w:p>
    <w:p>
      <w:pPr>
        <w:spacing w:after="0" w:line="11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00"/>
          </w:cols>
          <w:pgMar w:left="1160" w:top="274" w:right="239" w:bottom="1440" w:gutter="0" w:footer="0" w:header="0"/>
        </w:sectPr>
      </w:pPr>
    </w:p>
    <w:bookmarkStart w:id="103" w:name="page104"/>
    <w:bookmarkEnd w:id="103"/>
    <w:p>
      <w:pPr>
        <w:ind w:left="102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time adopted by the Board and in effect for executives of the Company or one of the Principal Subsidiaries, as applicable, generally (except to the extent such plans are in a category of benefit otherwise provided the Executive hereunder and in any event excluding any incentive, stock option, stock purchase [except for any stock purchase plan under Code Section 423], profit sharing, deferred compensation, bonus compensation or severance programs). Such participation shall be subject to (i) the terms of the applicable plan documents and (ii) generally applicable policies of the Company or one of the Principal Subsidiaries, as applicable. Any of the Company and the Principal Subsidiaries may alter, modify, add to or delete their employee benefit plans at any time as the Board, in its sole judgment, determines to be appropriate.</w:t>
      </w:r>
    </w:p>
    <w:p>
      <w:pPr>
        <w:spacing w:after="0" w:line="60" w:lineRule="exact"/>
        <w:rPr>
          <w:sz w:val="20"/>
          <w:szCs w:val="20"/>
          <w:color w:val="auto"/>
        </w:rPr>
      </w:pPr>
    </w:p>
    <w:p>
      <w:pPr>
        <w:ind w:left="1000" w:hanging="445"/>
        <w:spacing w:after="0" w:line="258" w:lineRule="auto"/>
        <w:rPr>
          <w:sz w:val="20"/>
          <w:szCs w:val="20"/>
          <w:color w:val="auto"/>
        </w:rPr>
      </w:pPr>
      <w:r>
        <w:rPr>
          <w:rFonts w:ascii="Times New Roman" w:cs="Times New Roman" w:eastAsia="Times New Roman" w:hAnsi="Times New Roman"/>
          <w:sz w:val="18"/>
          <w:szCs w:val="18"/>
          <w:color w:val="auto"/>
        </w:rPr>
        <w:t>4.5.2. Notwithstanding anything set forth in Sub-Section 4.5.1, as of the execution date of this Agreement, during the term hereof and subject to any contribution therefor generally required of executives of the Company or one of the Principal Subsidiaries, as applicable, the Executive and his spouse shall be entitled to participate in the Company’s health plan in accordance with the terms of the applicable plan documents.</w:t>
      </w:r>
    </w:p>
    <w:p>
      <w:pPr>
        <w:spacing w:after="0" w:line="55" w:lineRule="exact"/>
        <w:rPr>
          <w:sz w:val="20"/>
          <w:szCs w:val="20"/>
          <w:color w:val="auto"/>
        </w:rPr>
      </w:pPr>
    </w:p>
    <w:p>
      <w:pPr>
        <w:ind w:left="560" w:right="20" w:hanging="566"/>
        <w:spacing w:after="0" w:line="289" w:lineRule="auto"/>
        <w:tabs>
          <w:tab w:leader="none" w:pos="5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u w:val="single" w:color="auto"/>
          <w:color w:val="auto"/>
        </w:rPr>
        <w:t>Business Expenses</w:t>
      </w:r>
      <w:r>
        <w:rPr>
          <w:rFonts w:ascii="Times New Roman" w:cs="Times New Roman" w:eastAsia="Times New Roman" w:hAnsi="Times New Roman"/>
          <w:sz w:val="16"/>
          <w:szCs w:val="16"/>
          <w:color w:val="auto"/>
        </w:rPr>
        <w:t>. The Company shall pay or reimburse the Executive for all reasonable business expenses, including without limitation the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cost of first class air travel, incurred or paid by the Executive in the performance of his duties and responsibilities hereunder, subject to</w:t>
      </w:r>
    </w:p>
    <w:p>
      <w:pPr>
        <w:spacing w:after="0" w:line="1" w:lineRule="exact"/>
        <w:rPr>
          <w:sz w:val="20"/>
          <w:szCs w:val="20"/>
          <w:color w:val="auto"/>
        </w:rPr>
      </w:pPr>
    </w:p>
    <w:p>
      <w:pPr>
        <w:ind w:left="560" w:right="40"/>
        <w:spacing w:after="0" w:line="255" w:lineRule="auto"/>
        <w:tabs>
          <w:tab w:leader="none" w:pos="7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policy of the Company or one of the Principal Subsidiaries, as applicable, set by the Board from time to time, other than with respect to first class air travel, and (ii) such reasonable substantiation and documentation requirements as may be specified by the Board from time to time. All Business Expenses shall be reimbursed by the end of the calendar year in which the expenses are incurred.</w:t>
      </w:r>
    </w:p>
    <w:p>
      <w:pPr>
        <w:spacing w:after="0" w:line="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000" w:right="100" w:hanging="445"/>
        <w:spacing w:after="0" w:line="262" w:lineRule="auto"/>
        <w:rPr>
          <w:sz w:val="20"/>
          <w:szCs w:val="20"/>
          <w:color w:val="auto"/>
        </w:rPr>
      </w:pPr>
      <w:r>
        <w:rPr>
          <w:rFonts w:ascii="Times New Roman" w:cs="Times New Roman" w:eastAsia="Times New Roman" w:hAnsi="Times New Roman"/>
          <w:sz w:val="18"/>
          <w:szCs w:val="18"/>
          <w:color w:val="auto"/>
        </w:rPr>
        <w:t>4.7.1. The Company shall pay or reimburse the Executive for his business association dues and expenses up to $11,000 per year, with Board approval of any material increase in cost above such amount. Such reimbursement shall occur no later than the end of the calendar year in which the dues and expenses are incurred.</w:t>
      </w:r>
    </w:p>
    <w:p>
      <w:pPr>
        <w:spacing w:after="0" w:line="51" w:lineRule="exact"/>
        <w:rPr>
          <w:sz w:val="20"/>
          <w:szCs w:val="20"/>
          <w:color w:val="auto"/>
        </w:rPr>
      </w:pPr>
    </w:p>
    <w:p>
      <w:pPr>
        <w:ind w:left="1000" w:right="160" w:hanging="445"/>
        <w:spacing w:after="0" w:line="275" w:lineRule="auto"/>
        <w:rPr>
          <w:sz w:val="20"/>
          <w:szCs w:val="20"/>
          <w:color w:val="auto"/>
        </w:rPr>
      </w:pPr>
      <w:r>
        <w:rPr>
          <w:rFonts w:ascii="Times New Roman" w:cs="Times New Roman" w:eastAsia="Times New Roman" w:hAnsi="Times New Roman"/>
          <w:sz w:val="18"/>
          <w:szCs w:val="18"/>
          <w:color w:val="auto"/>
        </w:rPr>
        <w:t>4.7.2. The Company shall provide the Executive with directors and officers insurance and personal liability protection described on Exhibit B.</w:t>
      </w:r>
    </w:p>
    <w:p>
      <w:pPr>
        <w:spacing w:after="0" w:line="39" w:lineRule="exact"/>
        <w:rPr>
          <w:sz w:val="20"/>
          <w:szCs w:val="20"/>
          <w:color w:val="auto"/>
        </w:rPr>
      </w:pPr>
    </w:p>
    <w:p>
      <w:pPr>
        <w:ind w:left="1000" w:right="300" w:hanging="445"/>
        <w:spacing w:after="0" w:line="262" w:lineRule="auto"/>
        <w:rPr>
          <w:sz w:val="20"/>
          <w:szCs w:val="20"/>
          <w:color w:val="auto"/>
        </w:rPr>
      </w:pPr>
      <w:r>
        <w:rPr>
          <w:rFonts w:ascii="Times New Roman" w:cs="Times New Roman" w:eastAsia="Times New Roman" w:hAnsi="Times New Roman"/>
          <w:sz w:val="18"/>
          <w:szCs w:val="18"/>
          <w:color w:val="auto"/>
        </w:rPr>
        <w:t>4.7.3. The Company acknowledges its obligation to furnish the Executive (which for purposes of this Sub-Section 4.7.3 includes the Executive’s spouse, family and guests when accompanying him), with transportation during the term hereof that provides him with security to address bona fide business-oriented</w:t>
      </w:r>
    </w:p>
    <w:p>
      <w:pPr>
        <w:spacing w:after="0" w:line="11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0"/>
          </w:cols>
          <w:pgMar w:left="1160" w:top="274" w:right="239" w:bottom="1440" w:gutter="0" w:footer="0" w:header="0"/>
        </w:sectPr>
      </w:pPr>
    </w:p>
    <w:bookmarkStart w:id="104" w:name="page105"/>
    <w:bookmarkEnd w:id="104"/>
    <w:p>
      <w:pPr>
        <w:ind w:left="1486"/>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concerns, and shall, at the Company’s expense, make available to the Executive, Company or other private aircraft for business and personal use at his discretion, provided that any such personal use shall be limited to thirty-five (35) hours per calendar year (the “</w:t>
      </w:r>
      <w:r>
        <w:rPr>
          <w:rFonts w:ascii="Times New Roman" w:cs="Times New Roman" w:eastAsia="Times New Roman" w:hAnsi="Times New Roman"/>
          <w:sz w:val="16"/>
          <w:szCs w:val="16"/>
          <w:u w:val="single" w:color="auto"/>
          <w:color w:val="auto"/>
        </w:rPr>
        <w:t>Yearly Aircraft Hours</w:t>
      </w:r>
      <w:r>
        <w:rPr>
          <w:rFonts w:ascii="Times New Roman" w:cs="Times New Roman" w:eastAsia="Times New Roman" w:hAnsi="Times New Roman"/>
          <w:sz w:val="16"/>
          <w:szCs w:val="16"/>
          <w:color w:val="auto"/>
        </w:rPr>
        <w:t>”). It is recognized that travel by the Executive on Company or other private aircraft is required for security purposes and, as such, all uses by the Executive shall constitute business use of the aircraft and shall not be subject to reimbursement by the Executive. The Company shall provide additional payments to the Executive on a fully grossed up basis to cover applicable federal, state and local income and excise taxes, when and to the extent, if any, that such taxes are payable by the Executive, including, without limitation, any tax imposed by Section 4999 of the Code or any similar tax, with respect to the foregoing aircraft usage. Such reimbursement for taxes shall be paid to the Executive by the Company within five (5) business days after receipt of acceptable substantiation by the Company; provided, that the tax payments or reimbursements to the Executive shall in all events be paid no later than the end of the Executive’s taxable year next following the taxable year in which the taxes are remitted by the Executive to the Internal Revenue Service or any other applicable taxing authority. For personal use of the Company or other private aircraft in excess of the Yearly Aircraft Hours, the Executive shall be subject to a usage level and cost to be negotiated with the Board from time to time at rates in accordance with Standard Industrial Fare Level rates stipulated by the U.S. Department of Transportation or in the Time Sharing Agreement dated February 25, 2010, as may be amended from time to time, between the Executive and Domino’s Pizza LLC or any subsequent Time Sharing Agreement between the Executive and Domino’s Pizza LLC.</w:t>
      </w:r>
    </w:p>
    <w:p>
      <w:pPr>
        <w:spacing w:after="0" w:line="253" w:lineRule="exact"/>
        <w:rPr>
          <w:sz w:val="20"/>
          <w:szCs w:val="20"/>
          <w:color w:val="auto"/>
        </w:rPr>
      </w:pPr>
    </w:p>
    <w:p>
      <w:pPr>
        <w:ind w:left="1026" w:right="100" w:hanging="566"/>
        <w:spacing w:after="0" w:line="262" w:lineRule="auto"/>
        <w:tabs>
          <w:tab w:leader="none" w:pos="1006" w:val="left"/>
        </w:tabs>
        <w:rPr>
          <w:sz w:val="20"/>
          <w:szCs w:val="20"/>
          <w:color w:val="auto"/>
        </w:rPr>
      </w:pPr>
      <w:r>
        <w:rPr>
          <w:rFonts w:ascii="Times New Roman" w:cs="Times New Roman" w:eastAsia="Times New Roman" w:hAnsi="Times New Roman"/>
          <w:sz w:val="18"/>
          <w:szCs w:val="18"/>
          <w:color w:val="auto"/>
        </w:rPr>
        <w:t>4.7.4.</w:t>
        <w:tab/>
        <w:t>The Company shall pay or reimburse the Executive for his reasonable legal fees and expenses incurred in connection with the review of this Agreement and other agreements referred to herein in an aggregate amount not to exceed $10,000. Such payment or reimbursement shall occur no later than the last day of the calendar year in which such fees and expense were incurred.</w:t>
      </w:r>
    </w:p>
    <w:p>
      <w:pPr>
        <w:spacing w:after="0" w:line="51" w:lineRule="exact"/>
        <w:rPr>
          <w:sz w:val="20"/>
          <w:szCs w:val="20"/>
          <w:color w:val="auto"/>
        </w:rPr>
      </w:pPr>
    </w:p>
    <w:p>
      <w:pPr>
        <w:ind w:left="446" w:right="580" w:hanging="446"/>
        <w:spacing w:after="0" w:line="275" w:lineRule="auto"/>
        <w:tabs>
          <w:tab w:leader="none" w:pos="4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Services and Severance Benefits</w:t>
      </w:r>
      <w:r>
        <w:rPr>
          <w:rFonts w:ascii="Times New Roman" w:cs="Times New Roman" w:eastAsia="Times New Roman" w:hAnsi="Times New Roman"/>
          <w:sz w:val="18"/>
          <w:szCs w:val="18"/>
          <w:color w:val="auto"/>
        </w:rPr>
        <w:t>. Notwithstanding the provisions of Section 2 hereof, the Executive’s services hereunder shall terminate prior to the expiration of the term of this Agreement under the circumstances set forth below:</w:t>
      </w:r>
    </w:p>
    <w:p>
      <w:pPr>
        <w:spacing w:after="0" w:line="120" w:lineRule="exact"/>
        <w:rPr>
          <w:sz w:val="20"/>
          <w:szCs w:val="20"/>
          <w:color w:val="auto"/>
        </w:rPr>
      </w:pPr>
    </w:p>
    <w:p>
      <w:pPr>
        <w:ind w:left="466" w:right="280"/>
        <w:spacing w:after="0" w:line="275" w:lineRule="auto"/>
        <w:rPr>
          <w:sz w:val="20"/>
          <w:szCs w:val="20"/>
          <w:color w:val="auto"/>
        </w:rPr>
      </w:pPr>
      <w:r>
        <w:rPr>
          <w:rFonts w:ascii="Times New Roman" w:cs="Times New Roman" w:eastAsia="Times New Roman" w:hAnsi="Times New Roman"/>
          <w:sz w:val="18"/>
          <w:szCs w:val="18"/>
          <w:color w:val="auto"/>
        </w:rPr>
        <w:t>The Company and the Executive shall take all steps necessary (including with regard to any post-termination services by the Executive) to ensure that any termination described in this Section 5 constitutes a “separation from service” within the meaning of Code Section 409A.</w:t>
      </w:r>
    </w:p>
    <w:p>
      <w:pPr>
        <w:spacing w:after="0" w:line="106"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6"/>
          </w:cols>
          <w:pgMar w:left="694" w:top="274" w:right="239" w:bottom="1440" w:gutter="0" w:footer="0" w:header="0"/>
        </w:sectPr>
      </w:pPr>
    </w:p>
    <w:bookmarkStart w:id="105" w:name="page106"/>
    <w:bookmarkEnd w:id="105"/>
    <w:p>
      <w:pPr>
        <w:ind w:left="560" w:right="60" w:hanging="566"/>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In the event of the Executive’s death during the term hereof, the Executive’s employment hereunder shall immediately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automatically terminate, and the Company shall pay to the Executive’s designated beneficiary (or, if no beneficiary has been designated by the Executive, to his estate) within thirty (30) days following death, any Base Salary earned but unpaid through the date of death, any Bonus for the fiscal year preceding the year in which death occurs that was earned but has not yet been paid and, at the times the Company pays its executives bonuses in accordance with its general payroll policies, but not to exceed two and one half (2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months following the calendar year in which earned, an amount equal to that portion of any Bonus earned but unpaid during the fiscal year of the Executive’s death (pro-rated in accordance with Sub-Section 4.2).</w:t>
      </w:r>
    </w:p>
    <w:p>
      <w:pPr>
        <w:spacing w:after="0" w:line="6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w:t>
      </w:r>
    </w:p>
    <w:p>
      <w:pPr>
        <w:spacing w:after="0" w:line="90" w:lineRule="exact"/>
        <w:rPr>
          <w:sz w:val="20"/>
          <w:szCs w:val="20"/>
          <w:color w:val="auto"/>
        </w:rPr>
      </w:pPr>
    </w:p>
    <w:p>
      <w:pPr>
        <w:ind w:left="1000" w:hanging="445"/>
        <w:spacing w:after="0" w:line="251" w:lineRule="auto"/>
        <w:rPr>
          <w:sz w:val="20"/>
          <w:szCs w:val="20"/>
          <w:color w:val="auto"/>
        </w:rPr>
      </w:pPr>
      <w:r>
        <w:rPr>
          <w:rFonts w:ascii="Times New Roman" w:cs="Times New Roman" w:eastAsia="Times New Roman" w:hAnsi="Times New Roman"/>
          <w:sz w:val="18"/>
          <w:szCs w:val="18"/>
          <w:color w:val="auto"/>
        </w:rPr>
        <w:t xml:space="preserve">5.2.1. In the event the Executive incurs a disability that prevents him from performing his duties as President and Chief Executive Officer during the term of the Agreement, the Executive shall continue to receive his Base Salary in accordance with Sub-Section 4.1 and to receive benefit plan coverage in accordance with Sub-Section 4.5, to the extent permitted by the then-current terms of the applicable benefit plans, until the Executive becomes eligible for commencement of disability income benefits under any disability income plan maintained by the Company or one of the Principal Subsidiaries, as applicable (a “Disability Plan”), or until the termination of his employment, whichever first occurs. Within thirty (30) days after commencement of Disability Plan benefits to the Executive, or upon his termination of employment, whichever first occurs, the Company shall pay to the Executive any Base Salary earned but unpaid through the date Disability Plan benefits commence or employment termination and any Bonus for the fiscal year preceding the year Disability Plan benefits commence or employment termination that was earned but unpaid. While still employed and covered by the long-term Disability Plan of the Company or the Principal Subsidiaries and for a period not to exceed eighteen (18) months or termination as an employee under the long-term Disability Plan, whichever occurs first, the Company shall pay the Executive, at its regular pay periods, an amount equal to the difference between the Base Salary and the amount of disability income benefits that the Executive receives pursuant to the long-term Disability Plan with respect to such period. At the times the Company pays its executive bonuses generally, but no later than two and one half (2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months after the end of the fiscal year to which a Bonus relates, the Company shall pay the Executive an amount equal to that portion of any Bonus earned but unpaid during the fiscal year of Disability Plan payments or employment termination (pro-rated in accordance with Sub-Section 4.2). Notwithstanding the foregoing, if all or a portion of the disability benefits provided herein are deemed to constitute nonqualified deferred compensation that is not exempt under Code Section 409A or does not qualify under the Code Section 409A disability definition, such disability amounts shall be aggregated and delayed until the Executive satisfies</w:t>
      </w:r>
    </w:p>
    <w:p>
      <w:pPr>
        <w:spacing w:after="0" w:line="14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80"/>
          </w:cols>
          <w:pgMar w:left="1160" w:top="274" w:right="259" w:bottom="1440" w:gutter="0" w:footer="0" w:header="0"/>
        </w:sectPr>
      </w:pPr>
    </w:p>
    <w:bookmarkStart w:id="106" w:name="page107"/>
    <w:bookmarkEnd w:id="106"/>
    <w:p>
      <w:pPr>
        <w:ind w:left="740" w:right="2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disability definition requirements under Code Section 409A, or separates from service with the Company and its Principal Subsidiaries, whichever occurs first, and at such time, the Executive shall receive a lump sum payment equal to the aggregate delayed disability benefit amounts, and any remaining amounts shall be paid in accordance with the regularly scheduled payment dates.</w:t>
      </w:r>
    </w:p>
    <w:p>
      <w:pPr>
        <w:spacing w:after="0" w:line="16" w:lineRule="exact"/>
        <w:rPr>
          <w:sz w:val="20"/>
          <w:szCs w:val="20"/>
          <w:color w:val="auto"/>
        </w:rPr>
      </w:pPr>
    </w:p>
    <w:p>
      <w:pPr>
        <w:ind w:left="720" w:hanging="445"/>
        <w:spacing w:after="0" w:line="253" w:lineRule="auto"/>
        <w:rPr>
          <w:sz w:val="20"/>
          <w:szCs w:val="20"/>
          <w:color w:val="auto"/>
        </w:rPr>
      </w:pPr>
      <w:r>
        <w:rPr>
          <w:rFonts w:ascii="Times New Roman" w:cs="Times New Roman" w:eastAsia="Times New Roman" w:hAnsi="Times New Roman"/>
          <w:sz w:val="18"/>
          <w:szCs w:val="18"/>
          <w:color w:val="auto"/>
        </w:rPr>
        <w:t>5.2.2. The intent of Sub-Section 5.2 is to ensure that through the aggregate provision of Base Salary, Bonus and Disability Plan benefits, the Executive’s cash compensation shall not be diminished during a disability that prevents him from performing his duties as President and Chief Executive Officer during the term of this Agreement. Provided, however, that in no event shall the Executive receive aggregate cash compensation from Base Salary, Bonus and Disability Plan benefits that exceeds the cash compensation that he otherwise would have received under this Agreement had he not incurred a disability. Therefore, except as provided in Sub-Section 5.2.1, if the Executive is still employed while receiving disability income payments under any Disability Plan, the Executive shall not be entitled to receive any Base Salary under Sub-Section 4.1 or Bonus payments under Sub-Section 4.2 but shall continue to participate in benefit plans of the Company or one of the Principal Subsidiaries, as applicable, in accordance with Sub-Section 4.5 and the terms of such plans, until the termination of his employment and, solely with respect to benefits provided under Sub-Section 4.5.2, thereafter.</w:t>
      </w:r>
    </w:p>
    <w:p>
      <w:pPr>
        <w:spacing w:after="0" w:line="60" w:lineRule="exact"/>
        <w:rPr>
          <w:sz w:val="20"/>
          <w:szCs w:val="20"/>
          <w:color w:val="auto"/>
        </w:rPr>
      </w:pPr>
    </w:p>
    <w:p>
      <w:pPr>
        <w:ind w:left="720" w:right="20" w:hanging="445"/>
        <w:spacing w:after="0" w:line="288" w:lineRule="auto"/>
        <w:rPr>
          <w:sz w:val="20"/>
          <w:szCs w:val="20"/>
          <w:color w:val="auto"/>
        </w:rPr>
      </w:pPr>
      <w:r>
        <w:rPr>
          <w:rFonts w:ascii="Times New Roman" w:cs="Times New Roman" w:eastAsia="Times New Roman" w:hAnsi="Times New Roman"/>
          <w:sz w:val="16"/>
          <w:szCs w:val="16"/>
          <w:color w:val="auto"/>
        </w:rPr>
        <w:t>5.2.3. If any question shall arise as to whether during any period the Executive is disabled through any illness, injury, accident or condition of either a physical or psychological nature so as to be unable to perform his duties and responsibilities hereunder as President and Chief Executive Officer, the Executive may, and at the request of the Company shall, submit to a medical examination by a physician selected by the Company to whom the Executive or his duly appointed guardian, if any, has no reasonable objection to determine whether the Executive is so disabled and such determination shall for the purposes of this Agreement be conclusive of the issue, subject to any requirements under Code Section 409A, if applicable. If such question shall arise and the Executive shall fail to submit to such medical examination, the Board’s determination of the issue shall be binding on the Executive. In the event that the Executive’s employment is terminated due to disability pursuant to this Sub-Section 5.2, the Executive shall be entitled to the vested, outstanding equity grants under the Company’s Stock Plan and the compensation set forth in Sub-Section 5.4 below, provided that the Executive shall be entitled to no duplicative benefits between Sub-Sections 5.2 and 5.4.</w:t>
      </w:r>
    </w:p>
    <w:p>
      <w:pPr>
        <w:spacing w:after="0" w:line="3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60"/>
          </w:cols>
          <w:pgMar w:left="1440" w:top="274" w:right="299" w:bottom="1440" w:gutter="0" w:footer="0" w:header="0"/>
        </w:sectPr>
      </w:pPr>
    </w:p>
    <w:bookmarkStart w:id="107" w:name="page108"/>
    <w:bookmarkEnd w:id="107"/>
    <w:p>
      <w:pPr>
        <w:ind w:left="280" w:hanging="566"/>
        <w:spacing w:after="0" w:line="253" w:lineRule="auto"/>
        <w:tabs>
          <w:tab w:leader="none" w:pos="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 The Company may terminate the Executive’s employment hereunder for Cause at any time upon notice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 setting forth in reasonable detail the nature of such Cause. The following events or conditions shall constitute “Cause” for termination: (i) the Executive’s willful failure to perform (other than by reason of disability), or gross negligence in the performance of, his duties to the Company or any of its Affiliates, and the Executive does not cure such failure or negligence within the twenty-five (25) day period immediately following his receipt of such written allegations from the Board, (ii) the commission of fraud, embezzlement or theft by the Executive with respect to the Company or any of its Affiliates; or (iii) the conviction of the Executive of, or plea by the Executive of nolo contendere to, any felony or any other crime involving dishonesty or moral turpitude. Upon the giving of notice of termination of the Executive’s employment hereunder for Cause, the Company shall have no further obligation or liability to the Executive hereunder, other than for Base Salary earned but unpaid through the date of termination and vested, outstanding equity grants under the Company’s Stock Plan. Without limiting the generality of the foregoing, the Executive shall not be entitled to receive any Bonus amounts which have not been paid prior to the date of termination.</w:t>
      </w:r>
    </w:p>
    <w:p>
      <w:pPr>
        <w:spacing w:after="0" w:line="58" w:lineRule="exact"/>
        <w:rPr>
          <w:sz w:val="20"/>
          <w:szCs w:val="20"/>
          <w:color w:val="auto"/>
        </w:rPr>
      </w:pPr>
    </w:p>
    <w:p>
      <w:pPr>
        <w:ind w:left="280" w:hanging="566"/>
        <w:spacing w:after="0" w:line="254" w:lineRule="auto"/>
        <w:tabs>
          <w:tab w:leader="none" w:pos="2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By the Company other than for Cause</w:t>
      </w:r>
      <w:r>
        <w:rPr>
          <w:rFonts w:ascii="Times New Roman" w:cs="Times New Roman" w:eastAsia="Times New Roman" w:hAnsi="Times New Roman"/>
          <w:sz w:val="18"/>
          <w:szCs w:val="18"/>
          <w:color w:val="auto"/>
        </w:rPr>
        <w:t>. The Company may terminate the Executive’s employment hereunder other than for Cause at any time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upon notice to the Executive. In the event of such termination, the Company shall pay the Executive (i) Base Salary earned but unpaid through the date of termination, plus (ii) twenty-four (24) monthly severance payments, each in an amount equal to the Executive’s monthly base compensation in effect at the time of such termination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1/12th of the Base Salary), plus (iii) any unpaid portion of any Bonus for the fiscal year preceding the year in which such termination occurs that was earned but has not been paid, plus (iv) at the times the Company pays its executives bonuses generally, but no later than two and one half (2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months after the end of the fiscal year in which the bonus is earned, an amount equal to that portion of any Bonus earned but unpaid during the fiscal year of such termination (pro-rated in accordance with Sub-Section 4.2), plus (v) vested, outstanding equity grants under the Company’s Stock Plan.</w:t>
      </w:r>
    </w:p>
    <w:p>
      <w:pPr>
        <w:spacing w:after="0" w:line="57" w:lineRule="exact"/>
        <w:rPr>
          <w:sz w:val="20"/>
          <w:szCs w:val="20"/>
          <w:color w:val="auto"/>
        </w:rPr>
      </w:pPr>
    </w:p>
    <w:p>
      <w:pPr>
        <w:ind w:left="280" w:right="60" w:hanging="566"/>
        <w:spacing w:after="0" w:line="253" w:lineRule="auto"/>
        <w:tabs>
          <w:tab w:leader="none" w:pos="2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By the Executive for Good Reason</w:t>
      </w:r>
      <w:r>
        <w:rPr>
          <w:rFonts w:ascii="Times New Roman" w:cs="Times New Roman" w:eastAsia="Times New Roman" w:hAnsi="Times New Roman"/>
          <w:sz w:val="18"/>
          <w:szCs w:val="18"/>
          <w:color w:val="auto"/>
        </w:rPr>
        <w:t>. The Executive may terminate his employment hereunder for Good Reason, upon notice to the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setting forth in reasonable detail the nature of such Good Reason. The following shall constitute “Good Reason” for termination by the Executive: (i) failure of the Company to continue the Executive in the position of President and Chief Executive Officer; (ii) material diminution in the nature and scope of the Executive’s responsibilities, duties or authority, including without limitation the failure to continue the Executive as a member of the Board of the Company or either of the Principal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to so continue the Executive shall not constitute Good Reason if such failure occurs in connection with the sale or other disposition of the corporation as to which he has ceased to have board membership;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Company’s failure to continue the Executive’s appointment or election as a director or officer of any of its Affiliates (exclusive of the Principal Subsidiaries) and any diminution of the business of</w:t>
      </w:r>
    </w:p>
    <w:p>
      <w:pPr>
        <w:spacing w:after="0" w:line="1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00"/>
          </w:cols>
          <w:pgMar w:left="1440" w:top="274" w:right="259" w:bottom="1440" w:gutter="0" w:footer="0" w:header="0"/>
        </w:sectPr>
      </w:pPr>
    </w:p>
    <w:bookmarkStart w:id="108" w:name="page109"/>
    <w:bookmarkEnd w:id="108"/>
    <w:p>
      <w:pPr>
        <w:ind w:left="1026"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Affiliates shall not constitute Good Reason; (iii) material failure of the Company to provide the Executive the Base Salary and benefits (including Company-sponsored fringe benefits) in accordance with the terms of Section 4 hereof; or (iv) relocation of the Executive’s office to an area outside a fifty (50) mile radius of the Company’s current headquarters in Ann Arbor, Michigan. In the event of termination in accordance with this Sub-Section 5.5, then the Company shall pay the Executive the amounts specified in Sub-Section 5.4.</w:t>
      </w:r>
    </w:p>
    <w:p>
      <w:pPr>
        <w:spacing w:after="0" w:line="58" w:lineRule="exact"/>
        <w:rPr>
          <w:sz w:val="20"/>
          <w:szCs w:val="20"/>
          <w:color w:val="auto"/>
        </w:rPr>
      </w:pPr>
    </w:p>
    <w:p>
      <w:pPr>
        <w:ind w:left="1026" w:hanging="566"/>
        <w:spacing w:after="0" w:line="253" w:lineRule="auto"/>
        <w:tabs>
          <w:tab w:leader="none" w:pos="1006"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By the Executive Other than for Good Reason</w:t>
      </w:r>
      <w:r>
        <w:rPr>
          <w:rFonts w:ascii="Times New Roman" w:cs="Times New Roman" w:eastAsia="Times New Roman" w:hAnsi="Times New Roman"/>
          <w:sz w:val="18"/>
          <w:szCs w:val="18"/>
          <w:color w:val="auto"/>
        </w:rPr>
        <w:t>. The Executive may terminate his employment hereunder at any time upon ninety (90) days’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notice to the Company. In the event of termination of the Executive pursuant to this Sub-Section 5.6, the Board may elect to waive the period of notice, or any portion thereof. The Company will pay the Executive his Base Salary for the notice period, except to the extent so waived by the Board. Upon the giving of notice of termination of the Executive’s employment hereunder pursuant to this Sub-Section 5.6, the Company shall have no further obligation or liability to the Executive, other than (i) payment to the Executive of his Base Salary for the period (or portion of such period) indicated above and (ii) at the times the Company pays its executives bonuses generally, not to exceed two and one-half (2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months after the end of the year in which earned, an amount equal to that portion of any Bonus earned but unpaid during the fiscal year of such termination (pro-rated in accordance with Sub-Section 4.2), plus any vested, outstanding equity grants under the Company’s Stock Plan.</w:t>
      </w:r>
    </w:p>
    <w:p>
      <w:pPr>
        <w:spacing w:after="0" w:line="62" w:lineRule="exact"/>
        <w:rPr>
          <w:sz w:val="20"/>
          <w:szCs w:val="20"/>
          <w:color w:val="auto"/>
        </w:rPr>
      </w:pPr>
    </w:p>
    <w:p>
      <w:pPr>
        <w:ind w:left="1026" w:right="800" w:hanging="566"/>
        <w:spacing w:after="0" w:line="334" w:lineRule="auto"/>
        <w:tabs>
          <w:tab w:leader="none" w:pos="1006"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6"/>
          <w:szCs w:val="16"/>
          <w:u w:val="single" w:color="auto"/>
          <w:color w:val="auto"/>
        </w:rPr>
        <w:t>Post-Agreement Employment</w:t>
      </w:r>
      <w:r>
        <w:rPr>
          <w:rFonts w:ascii="Times New Roman" w:cs="Times New Roman" w:eastAsia="Times New Roman" w:hAnsi="Times New Roman"/>
          <w:sz w:val="16"/>
          <w:szCs w:val="16"/>
          <w:color w:val="auto"/>
        </w:rPr>
        <w:t>. In the event the Executive remains in the employ of the Company or any of its Affiliates following</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termination of this Agreement, by the expiration of the term hereof or otherwise, then such employment shall be at will.</w:t>
      </w:r>
    </w:p>
    <w:p>
      <w:pPr>
        <w:spacing w:after="0" w:line="1" w:lineRule="exact"/>
        <w:rPr>
          <w:sz w:val="20"/>
          <w:szCs w:val="20"/>
          <w:color w:val="auto"/>
        </w:rPr>
      </w:pPr>
    </w:p>
    <w:p>
      <w:pPr>
        <w:ind w:left="446" w:right="60" w:hanging="446"/>
        <w:spacing w:after="0" w:line="275" w:lineRule="auto"/>
        <w:tabs>
          <w:tab w:leader="none" w:pos="4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The provisions of this Section 6 shall apply in the event of termination due to the expiration of the term, pursuant to Section 5 or otherwise.</w:t>
      </w:r>
    </w:p>
    <w:p>
      <w:pPr>
        <w:spacing w:after="0" w:line="38" w:lineRule="exact"/>
        <w:rPr>
          <w:rFonts w:ascii="Times New Roman" w:cs="Times New Roman" w:eastAsia="Times New Roman" w:hAnsi="Times New Roman"/>
          <w:sz w:val="18"/>
          <w:szCs w:val="18"/>
          <w:color w:val="auto"/>
        </w:rPr>
      </w:pPr>
    </w:p>
    <w:p>
      <w:pPr>
        <w:ind w:left="1026" w:right="60" w:hanging="567"/>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Delayed Payments for Specified Employees.</w:t>
      </w:r>
      <w:r>
        <w:rPr>
          <w:rFonts w:ascii="Times New Roman" w:cs="Times New Roman" w:eastAsia="Times New Roman" w:hAnsi="Times New Roman"/>
          <w:sz w:val="18"/>
          <w:szCs w:val="18"/>
          <w:color w:val="auto"/>
        </w:rPr>
        <w:t xml:space="preserve"> Notwithstanding the provisions of Section 5 above, if the Executive is a “specified employee” as defined in Code Section 409A, determined in accordance with the methodology established by the Company as in effect on the Executive’s termination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amounts that otherwise would have been payable and benefits that otherwise would have been provided under Section 5 during the six (6) month period following the Executive’s termination shall instead be paid, with interest on any delayed payment, at the applicable federal rate, provided for in Code Section 7872(f)(2)(A)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or provided on the first business day after the date that is six months following the Executive’s “separation from service” within the meaning of Code Section 409A (the “</w:t>
      </w:r>
      <w:r>
        <w:rPr>
          <w:rFonts w:ascii="Times New Roman" w:cs="Times New Roman" w:eastAsia="Times New Roman" w:hAnsi="Times New Roman"/>
          <w:sz w:val="18"/>
          <w:szCs w:val="18"/>
          <w:u w:val="single" w:color="auto"/>
          <w:color w:val="auto"/>
        </w:rPr>
        <w:t>Delayed Payment Date</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6"/>
          </w:cols>
          <w:pgMar w:left="694" w:top="274" w:right="259" w:bottom="1440" w:gutter="0" w:footer="0" w:header="0"/>
        </w:sectPr>
      </w:pPr>
    </w:p>
    <w:bookmarkStart w:id="109" w:name="page110"/>
    <w:bookmarkEnd w:id="109"/>
    <w:p>
      <w:pPr>
        <w:ind w:left="1026" w:right="20" w:hanging="566"/>
        <w:spacing w:after="0" w:line="255" w:lineRule="auto"/>
        <w:tabs>
          <w:tab w:leader="none" w:pos="1006"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Payment by the Company of any Base Salary, Bonus or other specified amounts that are due the Executive under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applicable termination provision of Section 5 shall constitute the entire obligation of the Company and its Affiliates to the Executive, except that nothing in this Sub-Section 6.2 is intended or shall be construed to affect the rights and obligations of the Company and its Affiliates, on the one hand, and the Executive, on the other, with respect to any option plans, option agreements, subscription agreements, stockholders agreements or other agreements to the extent said rights or obligations survive termination of employment under the provision of documents relating thereto.</w:t>
      </w:r>
    </w:p>
    <w:p>
      <w:pPr>
        <w:spacing w:after="0" w:line="58" w:lineRule="exact"/>
        <w:rPr>
          <w:sz w:val="20"/>
          <w:szCs w:val="20"/>
          <w:color w:val="auto"/>
        </w:rPr>
      </w:pPr>
    </w:p>
    <w:p>
      <w:pPr>
        <w:ind w:left="1026" w:right="120" w:hanging="566"/>
        <w:spacing w:after="0" w:line="258" w:lineRule="auto"/>
        <w:tabs>
          <w:tab w:leader="none" w:pos="1006"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Termination of Benefits</w:t>
      </w:r>
      <w:r>
        <w:rPr>
          <w:rFonts w:ascii="Times New Roman" w:cs="Times New Roman" w:eastAsia="Times New Roman" w:hAnsi="Times New Roman"/>
          <w:sz w:val="18"/>
          <w:szCs w:val="18"/>
          <w:color w:val="auto"/>
        </w:rPr>
        <w:t>. Except for any right of continuation of health coverage at the Executive’s cost to the extent provided by Sections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601 through 608 of ERISA, benefits shall terminate pursuant to the terms of the applicable benefit plans based on the date of termination of the Executive’s employment without regard to any continuation of Base Salary or other payments to the Executive following termination of his employment.</w:t>
      </w:r>
    </w:p>
    <w:p>
      <w:pPr>
        <w:spacing w:after="0" w:line="55" w:lineRule="exact"/>
        <w:rPr>
          <w:sz w:val="20"/>
          <w:szCs w:val="20"/>
          <w:color w:val="auto"/>
        </w:rPr>
      </w:pPr>
    </w:p>
    <w:p>
      <w:pPr>
        <w:ind w:left="1026" w:hanging="566"/>
        <w:spacing w:after="0" w:line="296" w:lineRule="auto"/>
        <w:tabs>
          <w:tab w:leader="none" w:pos="1006"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6"/>
          <w:szCs w:val="16"/>
          <w:u w:val="single" w:color="auto"/>
          <w:color w:val="auto"/>
        </w:rPr>
        <w:t>Survival of Certain Provisions</w:t>
      </w:r>
      <w:r>
        <w:rPr>
          <w:rFonts w:ascii="Times New Roman" w:cs="Times New Roman" w:eastAsia="Times New Roman" w:hAnsi="Times New Roman"/>
          <w:sz w:val="16"/>
          <w:szCs w:val="16"/>
          <w:color w:val="auto"/>
        </w:rPr>
        <w:t>. Provisions of this Agreement shall survive any termination if so provided herein or if necessary or desirable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fully to accomplish the purpose of other surviving provisions, including, without limitation, the obligations of the Executive under Sections 7 and 8 hereof. The obligation of the Company to make payments to or on behalf of the Executive under Sub-Sections 5.2, 5.4 or 5.5 hereof is expressly conditioned upon the Executive’s continued full performance of obligations under Sections 7 and 8 hereof. The Executive recognizes that, except as expressly provided in Sub-Sections 5.2, 5.4 or 5.5, no compensation is earned after termination of employment.</w:t>
      </w:r>
    </w:p>
    <w:p>
      <w:pPr>
        <w:spacing w:after="0" w:line="27" w:lineRule="exact"/>
        <w:rPr>
          <w:sz w:val="20"/>
          <w:szCs w:val="20"/>
          <w:color w:val="auto"/>
        </w:rPr>
      </w:pPr>
    </w:p>
    <w:p>
      <w:pPr>
        <w:ind w:left="446" w:hanging="446"/>
        <w:spacing w:after="0"/>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26" w:right="20" w:hanging="567"/>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Executive acknowledges that the Company and its Affiliates continually develop Confidential Information; that the Executive may develop Confidential Information for the Company or its Affiliates and that the Executive may learn of Confidential Information during the course of employment. The Executive will comply with the policies and procedures of the Company and its Affiliates for protecting Confidential Information and shall never use or disclose to any Person (except as required by applicable law or for the proper performance of his duties and responsibilities to the Company and its Affiliates) any Confidential Information obtained by the Executive incident to his employment or other association with the Company or any of its Affiliates. The Executive understands that this restriction shall continue to apply after his employment terminates, regardless of the reason for such termination.</w:t>
      </w:r>
    </w:p>
    <w:p>
      <w:pPr>
        <w:spacing w:after="0" w:line="60" w:lineRule="exact"/>
        <w:rPr>
          <w:rFonts w:ascii="Times New Roman" w:cs="Times New Roman" w:eastAsia="Times New Roman" w:hAnsi="Times New Roman"/>
          <w:sz w:val="18"/>
          <w:szCs w:val="18"/>
          <w:color w:val="auto"/>
        </w:rPr>
      </w:pPr>
    </w:p>
    <w:p>
      <w:pPr>
        <w:ind w:left="1026" w:right="240" w:hanging="56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Return of Documents</w:t>
      </w:r>
      <w:r>
        <w:rPr>
          <w:rFonts w:ascii="Times New Roman" w:cs="Times New Roman" w:eastAsia="Times New Roman" w:hAnsi="Times New Roman"/>
          <w:sz w:val="18"/>
          <w:szCs w:val="18"/>
          <w:color w:val="auto"/>
        </w:rPr>
        <w:t>. All documents, records, tapes and other media of every kind and description relating to the business, present or otherwise, of the Company or its Affiliates and any copies, in whole or in part, thereof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whether or not prepared by the Executive, shall be the sole and exclusive property of the</w:t>
      </w:r>
    </w:p>
    <w:p>
      <w:pPr>
        <w:spacing w:after="0" w:line="119"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6"/>
          </w:cols>
          <w:pgMar w:left="694" w:top="274" w:right="259" w:bottom="1440" w:gutter="0" w:footer="0" w:header="0"/>
        </w:sectPr>
      </w:pPr>
    </w:p>
    <w:bookmarkStart w:id="110" w:name="page111"/>
    <w:bookmarkEnd w:id="110"/>
    <w:p>
      <w:pPr>
        <w:ind w:left="1026"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its Affiliates. The Executive shall safeguard all Documents and shall surrender to the Company at the time his employment terminates, or at such earlier time or times as the Board or its designee may specify, all Documents then in the Executive’s possession or control.</w:t>
      </w:r>
    </w:p>
    <w:p>
      <w:pPr>
        <w:spacing w:after="0" w:line="51" w:lineRule="exact"/>
        <w:rPr>
          <w:sz w:val="20"/>
          <w:szCs w:val="20"/>
          <w:color w:val="auto"/>
        </w:rPr>
      </w:pPr>
    </w:p>
    <w:p>
      <w:pPr>
        <w:ind w:left="1026" w:hanging="566"/>
        <w:spacing w:after="0" w:line="291" w:lineRule="auto"/>
        <w:tabs>
          <w:tab w:leader="none" w:pos="1006"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6"/>
          <w:szCs w:val="16"/>
          <w:u w:val="single" w:color="auto"/>
          <w:color w:val="auto"/>
        </w:rPr>
        <w:t>Assignment of Rights to Intellectual Property</w:t>
      </w:r>
      <w:r>
        <w:rPr>
          <w:rFonts w:ascii="Times New Roman" w:cs="Times New Roman" w:eastAsia="Times New Roman" w:hAnsi="Times New Roman"/>
          <w:sz w:val="16"/>
          <w:szCs w:val="16"/>
          <w:color w:val="auto"/>
        </w:rPr>
        <w:t>. The Executive shall promptly and fully disclose all Intellectual Property to the Company. The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and to permit the Company to enforce any patents, copyrights or other proprietary rights to the Intellectual Property. The Executive will not charge the Company for time spent in complying with these obligations. All copyrightable works that the Executive creates shall be considered “work made for hire.”</w:t>
      </w:r>
    </w:p>
    <w:p>
      <w:pPr>
        <w:spacing w:after="0" w:line="32" w:lineRule="exact"/>
        <w:rPr>
          <w:sz w:val="20"/>
          <w:szCs w:val="20"/>
          <w:color w:val="auto"/>
        </w:rPr>
      </w:pPr>
    </w:p>
    <w:p>
      <w:pPr>
        <w:ind w:left="446" w:hanging="446"/>
        <w:spacing w:after="0"/>
        <w:tabs>
          <w:tab w:leader="none" w:pos="4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Activities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26" w:right="80" w:hanging="567"/>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Agreement not to Compete with the Company</w:t>
      </w:r>
      <w:r>
        <w:rPr>
          <w:rFonts w:ascii="Times New Roman" w:cs="Times New Roman" w:eastAsia="Times New Roman" w:hAnsi="Times New Roman"/>
          <w:sz w:val="16"/>
          <w:szCs w:val="16"/>
          <w:color w:val="auto"/>
        </w:rPr>
        <w:t>. The Executive agrees that during the Executive’s employment hereunder and for a period of twenty-four (24) months following the date of termination thereof (the “</w:t>
      </w:r>
      <w:r>
        <w:rPr>
          <w:rFonts w:ascii="Times New Roman" w:cs="Times New Roman" w:eastAsia="Times New Roman" w:hAnsi="Times New Roman"/>
          <w:sz w:val="16"/>
          <w:szCs w:val="16"/>
          <w:u w:val="single" w:color="auto"/>
          <w:color w:val="auto"/>
        </w:rPr>
        <w:t>Non-Competition Period</w:t>
      </w:r>
      <w:r>
        <w:rPr>
          <w:rFonts w:ascii="Times New Roman" w:cs="Times New Roman" w:eastAsia="Times New Roman" w:hAnsi="Times New Roman"/>
          <w:sz w:val="16"/>
          <w:szCs w:val="16"/>
          <w:color w:val="auto"/>
        </w:rPr>
        <w:t>”), he will not, directly or indirectly, own, manage, operate, control or participate in any manner in the ownership, management, operation or control of, or be connected as an officer, employee, partner, director, principal, consultant, agent or otherwise with, or have any financial interest in, or aid or assist anyone else in the conduct of, any business, venture or activity which competes with, any business, venture or activity being conducted or actively being planned to be conducted by the Company or being conducted or known by the Executive to be actively being planned to be conducted by a group or division of the Company or by any of its Affiliates, at or prior to the date (the “</w:t>
      </w:r>
      <w:r>
        <w:rPr>
          <w:rFonts w:ascii="Times New Roman" w:cs="Times New Roman" w:eastAsia="Times New Roman" w:hAnsi="Times New Roman"/>
          <w:sz w:val="16"/>
          <w:szCs w:val="16"/>
          <w:u w:val="single" w:color="auto"/>
          <w:color w:val="auto"/>
        </w:rPr>
        <w:t>Date of Termination</w:t>
      </w:r>
      <w:r>
        <w:rPr>
          <w:rFonts w:ascii="Times New Roman" w:cs="Times New Roman" w:eastAsia="Times New Roman" w:hAnsi="Times New Roman"/>
          <w:sz w:val="16"/>
          <w:szCs w:val="16"/>
          <w:color w:val="auto"/>
        </w:rPr>
        <w:t>”) on which the Executive’s employment under this Agreement is terminated, in the United States or any other geographic area where such business is being conducted or actively being planned to be conducted at or prior to the Date of Termination. Notwithstanding the foregoing, ownership of not more than five percent (5%) of any class of equity security of any publicly held corporation shall not, of itself, constitute a violation of this Section 8.</w:t>
      </w:r>
    </w:p>
    <w:p>
      <w:pPr>
        <w:spacing w:after="0" w:line="34" w:lineRule="exact"/>
        <w:rPr>
          <w:rFonts w:ascii="Times New Roman" w:cs="Times New Roman" w:eastAsia="Times New Roman" w:hAnsi="Times New Roman"/>
          <w:sz w:val="18"/>
          <w:szCs w:val="18"/>
          <w:color w:val="auto"/>
        </w:rPr>
      </w:pPr>
    </w:p>
    <w:p>
      <w:pPr>
        <w:ind w:left="1026" w:right="40" w:hanging="56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Agreement Not to Solicit Employees or Customers of the Company</w:t>
      </w:r>
      <w:r>
        <w:rPr>
          <w:rFonts w:ascii="Times New Roman" w:cs="Times New Roman" w:eastAsia="Times New Roman" w:hAnsi="Times New Roman"/>
          <w:sz w:val="18"/>
          <w:szCs w:val="18"/>
          <w:color w:val="auto"/>
        </w:rPr>
        <w:t>. The Executive agrees that during employment and during the Non-Competition Period he will not, directly or indirectly, (a) recruit or hire or otherwise seek to induce any employees of the Company or any of the Company’s Affiliates to terminate their employment or violate any agreement with or duty to the Company or any of the Company’s Affiliates, or (b)</w:t>
      </w:r>
    </w:p>
    <w:p>
      <w:pPr>
        <w:spacing w:after="0" w:line="123"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6"/>
          </w:cols>
          <w:pgMar w:left="694" w:top="274" w:right="239" w:bottom="1440" w:gutter="0" w:footer="0" w:header="0"/>
        </w:sectPr>
      </w:pPr>
    </w:p>
    <w:bookmarkStart w:id="111" w:name="page112"/>
    <w:bookmarkEnd w:id="111"/>
    <w:p>
      <w:pPr>
        <w:ind w:left="1026"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51" w:lineRule="exact"/>
        <w:rPr>
          <w:sz w:val="20"/>
          <w:szCs w:val="20"/>
          <w:color w:val="auto"/>
        </w:rPr>
      </w:pPr>
    </w:p>
    <w:p>
      <w:pPr>
        <w:ind w:left="446" w:right="120" w:hanging="446"/>
        <w:spacing w:after="0" w:line="253"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Covenants</w:t>
      </w:r>
      <w:r>
        <w:rPr>
          <w:rFonts w:ascii="Times New Roman" w:cs="Times New Roman" w:eastAsia="Times New Roman" w:hAnsi="Times New Roman"/>
          <w:sz w:val="18"/>
          <w:szCs w:val="18"/>
          <w:color w:val="auto"/>
        </w:rPr>
        <w:t>. The Executive acknowledges that he has carefully read and considered all the terms and conditions of this Agreement, including without limitation the restraints imposed upon him pursuant to Sections 7 and 8 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The parties further agree that in the event that any provision of Section 7 or 8 hereof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w:t>
      </w:r>
    </w:p>
    <w:p>
      <w:pPr>
        <w:spacing w:after="0" w:line="59" w:lineRule="exact"/>
        <w:rPr>
          <w:rFonts w:ascii="Times New Roman" w:cs="Times New Roman" w:eastAsia="Times New Roman" w:hAnsi="Times New Roman"/>
          <w:sz w:val="18"/>
          <w:szCs w:val="18"/>
          <w:color w:val="auto"/>
        </w:rPr>
      </w:pPr>
    </w:p>
    <w:p>
      <w:pPr>
        <w:ind w:left="446" w:right="20" w:hanging="446"/>
        <w:spacing w:after="0" w:line="256"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Agreements</w:t>
      </w:r>
      <w:r>
        <w:rPr>
          <w:rFonts w:ascii="Times New Roman" w:cs="Times New Roman" w:eastAsia="Times New Roman" w:hAnsi="Times New Roman"/>
          <w:sz w:val="18"/>
          <w:szCs w:val="18"/>
          <w:color w:val="auto"/>
        </w:rPr>
        <w:t>. The Executive hereby represents and warrants that the execution of this Agreement and the performance of his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 obligations hereunder. The Executive will not disclose to or use on behalf of the Company or any of its Affiliates any proprietary information of a third party without such party’s consent.</w:t>
      </w:r>
    </w:p>
    <w:p>
      <w:pPr>
        <w:spacing w:after="0" w:line="57" w:lineRule="exact"/>
        <w:rPr>
          <w:rFonts w:ascii="Times New Roman" w:cs="Times New Roman" w:eastAsia="Times New Roman" w:hAnsi="Times New Roman"/>
          <w:sz w:val="18"/>
          <w:szCs w:val="18"/>
          <w:color w:val="auto"/>
        </w:rPr>
      </w:pPr>
    </w:p>
    <w:p>
      <w:pPr>
        <w:ind w:left="446" w:right="20" w:hanging="446"/>
        <w:spacing w:after="0" w:line="275"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Words or phrases which are initially capitalized or are within quotation marks shall have the meanings provided in this Section 11 and as provided elsewhere herein. For purposes of this Agreement, the following definitions apply:</w:t>
      </w:r>
    </w:p>
    <w:p>
      <w:pPr>
        <w:spacing w:after="0" w:line="38" w:lineRule="exact"/>
        <w:rPr>
          <w:rFonts w:ascii="Times New Roman" w:cs="Times New Roman" w:eastAsia="Times New Roman" w:hAnsi="Times New Roman"/>
          <w:sz w:val="18"/>
          <w:szCs w:val="18"/>
          <w:color w:val="auto"/>
        </w:rPr>
      </w:pPr>
    </w:p>
    <w:p>
      <w:pPr>
        <w:ind w:left="1026"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“Affiliates” means the Principal Subsidiaries and all other persons and entities controlling, controlled by or under common control with the Company, where control may be by management authority or equity interest.</w:t>
      </w:r>
    </w:p>
    <w:p>
      <w:pPr>
        <w:spacing w:after="0" w:line="38" w:lineRule="exact"/>
        <w:rPr>
          <w:rFonts w:ascii="Times New Roman" w:cs="Times New Roman" w:eastAsia="Times New Roman" w:hAnsi="Times New Roman"/>
          <w:sz w:val="18"/>
          <w:szCs w:val="18"/>
          <w:color w:val="auto"/>
        </w:rPr>
      </w:pPr>
    </w:p>
    <w:p>
      <w:pPr>
        <w:ind w:left="4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“Code” means the Internal Revenue Code of 1986, as amended.</w:t>
      </w:r>
    </w:p>
    <w:p>
      <w:pPr>
        <w:spacing w:after="0" w:line="90" w:lineRule="exact"/>
        <w:rPr>
          <w:rFonts w:ascii="Times New Roman" w:cs="Times New Roman" w:eastAsia="Times New Roman" w:hAnsi="Times New Roman"/>
          <w:sz w:val="18"/>
          <w:szCs w:val="18"/>
          <w:color w:val="auto"/>
        </w:rPr>
      </w:pPr>
    </w:p>
    <w:p>
      <w:pPr>
        <w:ind w:left="1026" w:right="16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“Confidential Information” means any and all information of the Company and its Affiliates that is not generally known by others with whom they compete or do business, or with whom they plan to compete or do business,</w:t>
      </w:r>
    </w:p>
    <w:p>
      <w:pPr>
        <w:spacing w:after="0" w:line="106"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6"/>
          </w:cols>
          <w:pgMar w:left="694" w:top="274" w:right="259" w:bottom="1440" w:gutter="0" w:footer="0" w:header="0"/>
        </w:sectPr>
      </w:pPr>
    </w:p>
    <w:bookmarkStart w:id="112" w:name="page113"/>
    <w:bookmarkEnd w:id="112"/>
    <w:p>
      <w:pPr>
        <w:ind w:left="1026"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and all information the disclosure of which would otherwise be adverse to the interests of the Company or any of its Affiliates.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of the Company and its Affiliates and (iv) the people and organizations with whom the Company and its Affiliates have business relationships and those relationships. Confidential Information also includes information that the Company or any of its Affiliates have received belonging to others with any understanding, express or implied, that it would not be disclosed.</w:t>
      </w:r>
    </w:p>
    <w:p>
      <w:pPr>
        <w:spacing w:after="0" w:line="60" w:lineRule="exact"/>
        <w:rPr>
          <w:sz w:val="20"/>
          <w:szCs w:val="20"/>
          <w:color w:val="auto"/>
        </w:rPr>
      </w:pPr>
    </w:p>
    <w:p>
      <w:pPr>
        <w:jc w:val="both"/>
        <w:ind w:left="1026" w:right="100" w:hanging="566"/>
        <w:spacing w:after="0" w:line="262" w:lineRule="auto"/>
        <w:tabs>
          <w:tab w:leader="none" w:pos="1006"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“ERISA” means the federal Employee Retirement Income Security Act of 1974, as amended, or any successor statute, and the rules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regulations thereunder, and, in the case of any referenced section thereof, any successor section thereto, collectively and as from time to time amended and in effect.</w:t>
      </w:r>
    </w:p>
    <w:p>
      <w:pPr>
        <w:spacing w:after="0" w:line="51" w:lineRule="exact"/>
        <w:rPr>
          <w:sz w:val="20"/>
          <w:szCs w:val="20"/>
          <w:color w:val="auto"/>
        </w:rPr>
      </w:pPr>
    </w:p>
    <w:p>
      <w:pPr>
        <w:ind w:left="1026" w:right="300" w:hanging="566"/>
        <w:spacing w:after="0" w:line="256" w:lineRule="auto"/>
        <w:tabs>
          <w:tab w:leader="none" w:pos="1006"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“Intellectual Property” means inventions, discoveries, developments, methods, processes, compositions, works,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concepts, recipes and ideas (whether or not patentable or copyrightable or constituting trade secrets or trade marks or service marks) conceived, made, created, developed or reduced to practice by the Executive (whether alone or with others, whether or not during normal business hours or on or off Company premises) during the Executive’s employment that relate to either the Business or any prospective activity of the Company or any of its Affiliates.</w:t>
      </w:r>
    </w:p>
    <w:p>
      <w:pPr>
        <w:spacing w:after="0" w:line="58" w:lineRule="exact"/>
        <w:rPr>
          <w:sz w:val="20"/>
          <w:szCs w:val="20"/>
          <w:color w:val="auto"/>
        </w:rPr>
      </w:pPr>
    </w:p>
    <w:p>
      <w:pPr>
        <w:ind w:left="1026" w:right="400" w:hanging="566"/>
        <w:spacing w:after="0" w:line="275" w:lineRule="auto"/>
        <w:tabs>
          <w:tab w:leader="none" w:pos="1006"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“Person” means an individual, a corporation, an association, a partnership, a limited liability company, an estate, a trust and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entity or organization.</w:t>
      </w:r>
    </w:p>
    <w:p>
      <w:pPr>
        <w:spacing w:after="0" w:line="39" w:lineRule="exact"/>
        <w:rPr>
          <w:sz w:val="20"/>
          <w:szCs w:val="20"/>
          <w:color w:val="auto"/>
        </w:rPr>
      </w:pPr>
    </w:p>
    <w:p>
      <w:pPr>
        <w:ind w:left="446" w:right="60" w:hanging="446"/>
        <w:spacing w:after="0" w:line="275" w:lineRule="auto"/>
        <w:tabs>
          <w:tab w:leader="none" w:pos="4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by the Company under this Agreement shall be reduced by any tax or other amounts required to be withheld by the Company under applicable law.</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26" w:hanging="56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the Company nor the Principal Subsidiaries nor the Executive may make any assignment of this Agreement or any interest herein, by operation of law or otherwise, without the prior written consent of the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or any of the Principal Subsidiaries may assign its rights and obligations under this Agreement without the consent of the Executive in the event that the Company or such Principal Subsidiary shall hereafter affect a reorganization, consolidate with, or merge into, any other Person or transfer all or substantially all of its properties or assets to any other Person, in which event such other Person shall be</w:t>
      </w:r>
    </w:p>
    <w:p>
      <w:pPr>
        <w:spacing w:after="0" w:line="125"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6"/>
          </w:cols>
          <w:pgMar w:left="694" w:top="274" w:right="239" w:bottom="1440" w:gutter="0" w:footer="0" w:header="0"/>
        </w:sectPr>
      </w:pPr>
    </w:p>
    <w:bookmarkStart w:id="113" w:name="page114"/>
    <w:bookmarkEnd w:id="113"/>
    <w:p>
      <w:pPr>
        <w:ind w:left="2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deemed the “Company” or a “Principal Subsidiary” hereunder, as applicable,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 Company, the Principal Subsidiaries and the Executive, and their respective successors, executors, administrators, heirs and permitted assigns.</w:t>
      </w:r>
    </w:p>
    <w:p>
      <w:pPr>
        <w:spacing w:after="0" w:line="58" w:lineRule="exact"/>
        <w:rPr>
          <w:sz w:val="20"/>
          <w:szCs w:val="20"/>
          <w:color w:val="auto"/>
        </w:rPr>
      </w:pPr>
    </w:p>
    <w:p>
      <w:pPr>
        <w:ind w:left="280" w:right="20" w:hanging="566"/>
        <w:spacing w:after="0" w:line="256" w:lineRule="auto"/>
        <w:tabs>
          <w:tab w:leader="none" w:pos="26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or provision of this Agreement shall to any extent be declared illegal or unenforceable by a court of competent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58" w:lineRule="exact"/>
        <w:rPr>
          <w:sz w:val="20"/>
          <w:szCs w:val="20"/>
          <w:color w:val="auto"/>
        </w:rPr>
      </w:pPr>
    </w:p>
    <w:p>
      <w:pPr>
        <w:ind w:left="280" w:right="140" w:hanging="566"/>
        <w:spacing w:after="0" w:line="256" w:lineRule="auto"/>
        <w:tabs>
          <w:tab w:leader="none" w:pos="2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No waiver of any provision hereof shall be effective unless made in writing and signed by the waiving party.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 and the Principal Subsidiaries.</w:t>
      </w:r>
    </w:p>
    <w:p>
      <w:pPr>
        <w:spacing w:after="0" w:line="58" w:lineRule="exact"/>
        <w:rPr>
          <w:sz w:val="20"/>
          <w:szCs w:val="20"/>
          <w:color w:val="auto"/>
        </w:rPr>
      </w:pPr>
    </w:p>
    <w:p>
      <w:pPr>
        <w:jc w:val="both"/>
        <w:ind w:left="280" w:right="220" w:hanging="566"/>
        <w:spacing w:after="0" w:line="262" w:lineRule="auto"/>
        <w:tabs>
          <w:tab w:leader="none" w:pos="26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requests, demands and other communications provided for by this Agreement shall be in writing and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when delivered in person or deposited in the United States mail, postage prepaid, registered or certified, and addressed (a) in the case of the Executive, to:</w:t>
      </w:r>
    </w:p>
    <w:p>
      <w:pPr>
        <w:spacing w:after="0" w:line="1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Mr. J. Patrick Doyle</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769 Heather Way</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Ann Arbor, MI 48104</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Ms. Margaret A. Hunter</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Dykema Gossett PLLC</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400 Renaissance Center</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Detroit, MI 48243</w:t>
      </w:r>
    </w:p>
    <w:p>
      <w:pPr>
        <w:spacing w:after="0" w:line="1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20"/>
          </w:cols>
          <w:pgMar w:left="1440" w:top="274" w:right="239" w:bottom="1440" w:gutter="0" w:footer="0" w:header="0"/>
        </w:sectPr>
      </w:pPr>
    </w:p>
    <w:bookmarkStart w:id="114" w:name="page115"/>
    <w:bookmarkEnd w:id="114"/>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 in the case of the Company, at its principal place of business and to the attention of Board of Directors, with a copy to the General Counsel or to such other address as either party may specify by notice to the other actually received.</w:t>
      </w:r>
    </w:p>
    <w:p>
      <w:pPr>
        <w:spacing w:after="0" w:line="39" w:lineRule="exact"/>
        <w:rPr>
          <w:sz w:val="20"/>
          <w:szCs w:val="20"/>
          <w:color w:val="auto"/>
        </w:rPr>
      </w:pPr>
    </w:p>
    <w:p>
      <w:pPr>
        <w:ind w:left="560" w:right="140" w:hanging="566"/>
        <w:spacing w:after="0" w:line="262" w:lineRule="auto"/>
        <w:tabs>
          <w:tab w:leader="none" w:pos="5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all prior communications,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agreements and understandings, written or oral, with the Company, its Affiliates or any of their predecessors, with respect to the terms and conditions of the Executive’s employment.</w:t>
      </w:r>
    </w:p>
    <w:p>
      <w:pPr>
        <w:spacing w:after="0" w:line="51" w:lineRule="exact"/>
        <w:rPr>
          <w:sz w:val="20"/>
          <w:szCs w:val="20"/>
          <w:color w:val="auto"/>
        </w:rPr>
      </w:pPr>
    </w:p>
    <w:p>
      <w:pPr>
        <w:ind w:left="560" w:right="180" w:hanging="566"/>
        <w:spacing w:after="0" w:line="275" w:lineRule="auto"/>
        <w:tabs>
          <w:tab w:leader="none" w:pos="5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and captions in this Agreement are for convenience only and in no way define or describe the scope or content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provision of this Agreement.</w:t>
      </w:r>
    </w:p>
    <w:p>
      <w:pPr>
        <w:spacing w:after="0" w:line="39" w:lineRule="exact"/>
        <w:rPr>
          <w:sz w:val="20"/>
          <w:szCs w:val="20"/>
          <w:color w:val="auto"/>
        </w:rPr>
      </w:pPr>
    </w:p>
    <w:p>
      <w:pPr>
        <w:ind w:left="560" w:right="80" w:hanging="566"/>
        <w:spacing w:after="0" w:line="275" w:lineRule="auto"/>
        <w:tabs>
          <w:tab w:leader="none" w:pos="5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and all of which together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39" w:lineRule="exact"/>
        <w:rPr>
          <w:sz w:val="20"/>
          <w:szCs w:val="20"/>
          <w:color w:val="auto"/>
        </w:rPr>
      </w:pPr>
    </w:p>
    <w:p>
      <w:pPr>
        <w:ind w:left="560" w:right="160" w:hanging="566"/>
        <w:spacing w:after="0" w:line="275" w:lineRule="auto"/>
        <w:tabs>
          <w:tab w:leader="none" w:pos="5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The Company and the Principal Subsidiaries shall be jointly and severally liable for all payment obligations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Company pursuant to this Agreement.</w:t>
      </w:r>
    </w:p>
    <w:p>
      <w:pPr>
        <w:spacing w:after="0" w:line="39" w:lineRule="exact"/>
        <w:rPr>
          <w:sz w:val="20"/>
          <w:szCs w:val="20"/>
          <w:color w:val="auto"/>
        </w:rPr>
      </w:pPr>
    </w:p>
    <w:p>
      <w:pPr>
        <w:ind w:left="560" w:right="460" w:hanging="566"/>
        <w:spacing w:after="0" w:line="262" w:lineRule="auto"/>
        <w:tabs>
          <w:tab w:leader="none" w:pos="5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domestic substantive laws of the State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Michigan without giving effect to any choice or conflict of laws provision or rule that would cause the application of the domestic substantive laws of any other jurisdiction.</w:t>
      </w:r>
    </w:p>
    <w:p>
      <w:pPr>
        <w:spacing w:after="0" w:line="51" w:lineRule="exact"/>
        <w:rPr>
          <w:sz w:val="20"/>
          <w:szCs w:val="20"/>
          <w:color w:val="auto"/>
        </w:rPr>
      </w:pPr>
    </w:p>
    <w:p>
      <w:pPr>
        <w:ind w:left="560" w:hanging="566"/>
        <w:spacing w:after="0" w:line="253"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Company and the Executive by its or his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 assert by way of motion, as a defense or otherwise, in any such claim or action, any claim that it or he is not subject personally to the jurisdiction of the above-named courts, that its or his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Sub-Section 13.4 hereof is reasonably calculated to give actual notice.</w:t>
      </w:r>
    </w:p>
    <w:p>
      <w:pPr>
        <w:spacing w:after="0" w:line="1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20"/>
          </w:cols>
          <w:pgMar w:left="1160" w:top="274" w:right="319" w:bottom="1440" w:gutter="0" w:footer="0" w:header="0"/>
        </w:sectPr>
      </w:pPr>
    </w:p>
    <w:bookmarkStart w:id="115" w:name="page116"/>
    <w:bookmarkEnd w:id="115"/>
    <w:p>
      <w:pPr>
        <w:ind w:right="7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Agreement has been executed on behalf of the Company and the Principal Subsidiaries by their respective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and by the Executive, as of the date first above written.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DOMINO’S PIZZA, INC.</w:t>
            </w:r>
          </w:p>
        </w:tc>
      </w:tr>
      <w:tr>
        <w:trPr>
          <w:trHeight w:val="432"/>
        </w:trPr>
        <w:tc>
          <w:tcPr>
            <w:tcW w:w="54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 Robert M. Rosenberg</w:t>
            </w:r>
          </w:p>
        </w:tc>
      </w:tr>
      <w:tr>
        <w:trPr>
          <w:trHeight w:val="120"/>
        </w:trPr>
        <w:tc>
          <w:tcPr>
            <w:tcW w:w="5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r>
      <w:tr>
        <w:trPr>
          <w:trHeight w:val="305"/>
        </w:trPr>
        <w:tc>
          <w:tcPr>
            <w:tcW w:w="54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Robert M. Rosenberg</w:t>
            </w:r>
          </w:p>
        </w:tc>
      </w:tr>
      <w:tr>
        <w:trPr>
          <w:trHeight w:val="230"/>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SUBSIDIARIES:</w:t>
            </w: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DOMINO’S, INC.</w:t>
            </w:r>
          </w:p>
        </w:tc>
      </w:tr>
      <w:tr>
        <w:trPr>
          <w:trHeight w:val="432"/>
        </w:trPr>
        <w:tc>
          <w:tcPr>
            <w:tcW w:w="54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 Wendy A. Beck</w:t>
            </w:r>
          </w:p>
        </w:tc>
      </w:tr>
      <w:tr>
        <w:trPr>
          <w:trHeight w:val="120"/>
        </w:trPr>
        <w:tc>
          <w:tcPr>
            <w:tcW w:w="5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r>
      <w:tr>
        <w:trPr>
          <w:trHeight w:val="305"/>
        </w:trPr>
        <w:tc>
          <w:tcPr>
            <w:tcW w:w="54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Wendy A. Beck</w:t>
            </w:r>
          </w:p>
        </w:tc>
      </w:tr>
      <w:tr>
        <w:trPr>
          <w:trHeight w:val="216"/>
        </w:trPr>
        <w:tc>
          <w:tcPr>
            <w:tcW w:w="5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tc>
      </w:tr>
      <w:tr>
        <w:trPr>
          <w:trHeight w:val="230"/>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432"/>
        </w:trPr>
        <w:tc>
          <w:tcPr>
            <w:tcW w:w="548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DOMINO’S PIZZA LLC</w:t>
            </w:r>
          </w:p>
        </w:tc>
      </w:tr>
      <w:tr>
        <w:trPr>
          <w:trHeight w:val="432"/>
        </w:trPr>
        <w:tc>
          <w:tcPr>
            <w:tcW w:w="54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 Wendy A. Beck</w:t>
            </w:r>
          </w:p>
        </w:tc>
      </w:tr>
      <w:tr>
        <w:trPr>
          <w:trHeight w:val="120"/>
        </w:trPr>
        <w:tc>
          <w:tcPr>
            <w:tcW w:w="5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r>
      <w:tr>
        <w:trPr>
          <w:trHeight w:val="305"/>
        </w:trPr>
        <w:tc>
          <w:tcPr>
            <w:tcW w:w="54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Wendy A. Beck</w:t>
            </w:r>
          </w:p>
        </w:tc>
      </w:tr>
      <w:tr>
        <w:trPr>
          <w:trHeight w:val="216"/>
        </w:trPr>
        <w:tc>
          <w:tcPr>
            <w:tcW w:w="5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tc>
      </w:tr>
      <w:tr>
        <w:trPr>
          <w:trHeight w:val="230"/>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EXECUTIVE:</w:t>
            </w: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 Patrick Doyle</w:t>
            </w:r>
          </w:p>
        </w:tc>
      </w:tr>
      <w:tr>
        <w:trPr>
          <w:trHeight w:val="120"/>
        </w:trPr>
        <w:tc>
          <w:tcPr>
            <w:tcW w:w="5480" w:type="dxa"/>
            <w:vAlign w:val="bottom"/>
          </w:tcPr>
          <w:p>
            <w:pPr>
              <w:spacing w:after="0"/>
              <w:rPr>
                <w:sz w:val="10"/>
                <w:szCs w:val="10"/>
                <w:color w:val="auto"/>
              </w:rPr>
            </w:pPr>
          </w:p>
        </w:tc>
        <w:tc>
          <w:tcPr>
            <w:tcW w:w="5940" w:type="dxa"/>
            <w:vAlign w:val="bottom"/>
            <w:tcBorders>
              <w:bottom w:val="single" w:sz="8" w:color="808080"/>
            </w:tcBorders>
            <w:gridSpan w:val="2"/>
          </w:tcPr>
          <w:p>
            <w:pPr>
              <w:spacing w:after="0"/>
              <w:rPr>
                <w:sz w:val="10"/>
                <w:szCs w:val="10"/>
                <w:color w:val="auto"/>
              </w:rPr>
            </w:pPr>
          </w:p>
        </w:tc>
      </w:tr>
      <w:tr>
        <w:trPr>
          <w:trHeight w:val="319"/>
        </w:trPr>
        <w:tc>
          <w:tcPr>
            <w:tcW w:w="548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J. Patrick Doyle</w:t>
            </w:r>
          </w:p>
        </w:tc>
      </w:tr>
      <w:tr>
        <w:trPr>
          <w:trHeight w:val="365"/>
        </w:trPr>
        <w:tc>
          <w:tcPr>
            <w:tcW w:w="548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w:t>
            </w:r>
          </w:p>
        </w:tc>
        <w:tc>
          <w:tcPr>
            <w:tcW w:w="5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-3381375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-3381375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-2403475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-2403475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-1289050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-1289050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-448310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-448310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6" w:name="page117"/>
    <w:bookmarkEnd w:id="116"/>
    <w:p>
      <w:pPr>
        <w:ind w:left="4745"/>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3.2</w:t>
      </w:r>
    </w:p>
    <w:p>
      <w:pPr>
        <w:spacing w:after="0" w:line="171" w:lineRule="exact"/>
        <w:rPr>
          <w:sz w:val="20"/>
          <w:szCs w:val="20"/>
          <w:color w:val="auto"/>
        </w:rPr>
      </w:pPr>
    </w:p>
    <w:p>
      <w:pPr>
        <w:ind w:left="4385"/>
        <w:spacing w:after="0"/>
        <w:rPr>
          <w:sz w:val="20"/>
          <w:szCs w:val="20"/>
          <w:color w:val="auto"/>
        </w:rPr>
      </w:pPr>
      <w:r>
        <w:rPr>
          <w:rFonts w:ascii="Times New Roman" w:cs="Times New Roman" w:eastAsia="Times New Roman" w:hAnsi="Times New Roman"/>
          <w:sz w:val="18"/>
          <w:szCs w:val="18"/>
          <w:color w:val="auto"/>
        </w:rPr>
        <w:t>J. PATRICK DOYLE</w:t>
      </w:r>
    </w:p>
    <w:p>
      <w:pPr>
        <w:spacing w:after="0" w:line="21" w:lineRule="exact"/>
        <w:rPr>
          <w:sz w:val="20"/>
          <w:szCs w:val="20"/>
          <w:color w:val="auto"/>
        </w:rPr>
      </w:pPr>
    </w:p>
    <w:p>
      <w:pPr>
        <w:jc w:val="center"/>
        <w:ind w:right="-625"/>
        <w:spacing w:after="0"/>
        <w:rPr>
          <w:sz w:val="20"/>
          <w:szCs w:val="20"/>
          <w:color w:val="auto"/>
        </w:rPr>
      </w:pPr>
      <w:r>
        <w:rPr>
          <w:rFonts w:ascii="Times New Roman" w:cs="Times New Roman" w:eastAsia="Times New Roman" w:hAnsi="Times New Roman"/>
          <w:sz w:val="16"/>
          <w:szCs w:val="16"/>
          <w:color w:val="auto"/>
        </w:rPr>
        <w:t>CURRENT ACTIVITIES</w:t>
      </w:r>
    </w:p>
    <w:p>
      <w:pPr>
        <w:spacing w:after="0" w:line="32" w:lineRule="exact"/>
        <w:rPr>
          <w:sz w:val="20"/>
          <w:szCs w:val="20"/>
          <w:color w:val="auto"/>
        </w:rPr>
      </w:pPr>
    </w:p>
    <w:p>
      <w:pPr>
        <w:jc w:val="center"/>
        <w:ind w:right="-625"/>
        <w:spacing w:after="0"/>
        <w:rPr>
          <w:sz w:val="20"/>
          <w:szCs w:val="20"/>
          <w:color w:val="auto"/>
        </w:rPr>
      </w:pPr>
      <w:r>
        <w:rPr>
          <w:rFonts w:ascii="Times New Roman" w:cs="Times New Roman" w:eastAsia="Times New Roman" w:hAnsi="Times New Roman"/>
          <w:sz w:val="18"/>
          <w:szCs w:val="18"/>
          <w:u w:val="single" w:color="auto"/>
          <w:color w:val="auto"/>
        </w:rPr>
        <w:t>February, 2010</w:t>
      </w:r>
    </w:p>
    <w:p>
      <w:pPr>
        <w:spacing w:after="0" w:line="199" w:lineRule="exact"/>
        <w:rPr>
          <w:sz w:val="20"/>
          <w:szCs w:val="20"/>
          <w:color w:val="auto"/>
        </w:rPr>
      </w:pPr>
    </w:p>
    <w:p>
      <w:pPr>
        <w:ind w:left="325" w:hanging="325"/>
        <w:spacing w:after="0"/>
        <w:tabs>
          <w:tab w:leader="none" w:pos="3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&amp; K Services, Inc. – Board of Directors</w:t>
      </w:r>
    </w:p>
    <w:p>
      <w:pPr>
        <w:spacing w:after="0" w:line="21"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Leaders of Michigan – Board of Directors</w:t>
      </w:r>
    </w:p>
    <w:p>
      <w:pPr>
        <w:spacing w:after="0" w:line="9"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Emerson School in Ann Arbor, Michigan – Chairman of Board of Trustees</w:t>
      </w:r>
    </w:p>
    <w:p>
      <w:pPr>
        <w:spacing w:after="0" w:line="145"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644"/>
          </w:cols>
          <w:pgMar w:left="815" w:top="274" w:right="1440"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4.2</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DOMINO’S PIZZA SENIOR EXECUTIVE ANNUAL INCENTIVE PLAN</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274" w:right="1440"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STOCK PLAN</w:t>
      </w:r>
    </w:p>
    <w:p>
      <w:pPr>
        <w:sectPr>
          <w:pgSz w:w="11900" w:h="16838" w:orient="portrait"/>
          <w:cols w:equalWidth="0" w:num="1">
            <w:col w:w="9019"/>
          </w:cols>
          <w:pgMar w:left="1440" w:top="274"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OPTION AGREEMENT</w:t>
      </w:r>
    </w:p>
    <w:p>
      <w:pPr>
        <w:sectPr>
          <w:pgSz w:w="11900" w:h="16838" w:orient="portrait"/>
          <w:cols w:equalWidth="0" w:num="1">
            <w:col w:w="9019"/>
          </w:cols>
          <w:pgMar w:left="1440" w:top="274" w:right="1440"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OF PERFORMANCE SHARE AWARD AGREEMENT</w:t>
      </w:r>
    </w:p>
    <w:p>
      <w:pPr>
        <w:sectPr>
          <w:pgSz w:w="11900" w:h="16838" w:orient="portrait"/>
          <w:cols w:equalWidth="0" w:num="1">
            <w:col w:w="9019"/>
          </w:cols>
          <w:pgMar w:left="1440" w:top="274" w:right="1440" w:bottom="1440" w:gutter="0" w:footer="0" w:header="0"/>
        </w:sectPr>
      </w:pPr>
    </w:p>
    <w:bookmarkStart w:id="121" w:name="page122"/>
    <w:bookmarkEnd w:id="121"/>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D&amp;O INSURANCE AND PERSONAL LIABILITY PROTECTION</w:t>
      </w:r>
    </w:p>
    <w:p>
      <w:pPr>
        <w:spacing w:after="0" w:line="169"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Company shall provide the Executive with the coverage described in this Exhibit B or such other coverage as the Company shall from time to time select that shall be not substantially less favorable to the Executive than the coverage described herein.</w:t>
      </w:r>
    </w:p>
    <w:p>
      <w:pPr>
        <w:sectPr>
          <w:pgSz w:w="11900" w:h="16838" w:orient="portrait"/>
          <w:cols w:equalWidth="0" w:num="1">
            <w:col w:w="11360"/>
          </w:cols>
          <w:pgMar w:left="240" w:top="274" w:right="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10.41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TIME SHARING AGREEMENT</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Agreement, made and entered into this 25th day of February, 2010 by and between Domino’s Pizza LLC, a limited liability company organized and existing under the laws of the State of Michigan (“Domino’s”) and J. Patrick Doyle (“User”).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WHEREAS, Domino’s is the owner of one (1) Dassault Falcon 2000 aircraft bearing FAA Registration Number N220DF and Manufacturer’s Serial Number 69 (the “Aircraft”); 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User desires use of the Aircraft on a limited basis; and</w:t>
      </w:r>
    </w:p>
    <w:p>
      <w:pPr>
        <w:spacing w:after="0" w:line="17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WHEREAS, Domino’s desires to make the Aircraft available to User on a timesharing basis in accordance with §91.501 of the Federal Aviation Regulations (“FARs”).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covenants set forth herein, the parties agree as follows:</w:t>
      </w:r>
    </w:p>
    <w:p>
      <w:pPr>
        <w:spacing w:after="0" w:line="171" w:lineRule="exact"/>
        <w:rPr>
          <w:sz w:val="20"/>
          <w:szCs w:val="20"/>
          <w:color w:val="auto"/>
        </w:rPr>
      </w:pPr>
    </w:p>
    <w:p>
      <w:pPr>
        <w:ind w:right="180" w:firstLine="8"/>
        <w:spacing w:after="0" w:line="262" w:lineRule="auto"/>
        <w:tabs>
          <w:tab w:leader="none" w:pos="1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of Aircraft</w:t>
      </w:r>
      <w:r>
        <w:rPr>
          <w:rFonts w:ascii="Times New Roman" w:cs="Times New Roman" w:eastAsia="Times New Roman" w:hAnsi="Times New Roman"/>
          <w:sz w:val="18"/>
          <w:szCs w:val="18"/>
          <w:color w:val="auto"/>
        </w:rPr>
        <w:t>. Domino’s agrees to provide the Aircraft to User on a time sharing basis in accordance with the provisions of 91.501(b)(6), 91.501(c)(1) and 91.501(d) of the FARs for a term of one year. The term shall be automatically extended for additional one-year terms on the same conditions as set forth herein unless earlier terminated pursuant to Paragraph 15 below.</w:t>
      </w:r>
    </w:p>
    <w:p>
      <w:pPr>
        <w:spacing w:after="0" w:line="132" w:lineRule="exact"/>
        <w:rPr>
          <w:rFonts w:ascii="Times New Roman" w:cs="Times New Roman" w:eastAsia="Times New Roman" w:hAnsi="Times New Roman"/>
          <w:sz w:val="18"/>
          <w:szCs w:val="18"/>
          <w:color w:val="auto"/>
        </w:rPr>
      </w:pPr>
    </w:p>
    <w:p>
      <w:pPr>
        <w:jc w:val="both"/>
        <w:ind w:right="200" w:firstLine="8"/>
        <w:spacing w:after="0" w:line="255" w:lineRule="auto"/>
        <w:tabs>
          <w:tab w:leader="none" w:pos="1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Provision for Personal Usage</w:t>
      </w:r>
      <w:r>
        <w:rPr>
          <w:rFonts w:ascii="Times New Roman" w:cs="Times New Roman" w:eastAsia="Times New Roman" w:hAnsi="Times New Roman"/>
          <w:sz w:val="18"/>
          <w:szCs w:val="18"/>
          <w:color w:val="auto"/>
        </w:rPr>
        <w:t>. For the calendar years of 2010, 2011 and 2012, Domino’s agrees, at Domino’s expense, to make available to User (and his family and guests when traveling with him), the Aircraft for personal use at his discretion, provided that any such personal use shall be limited to thirty-five (35) hours per year (the “Yearly Aircraft Hours”). Domino’s shall provide additional payments to User on a fully grossed up basis to cover applicable federal, state and local income and excise taxes, when and to the extent, if any, that such taxes are payable by User, including, without limitation, any tax imposed by Section 4999 of the Code or any similar tax, with respect to the Yearly Aircraft Hours. For personal use of the Aircraft in excess of the Yearly Aircraft Hours, User shall reimburse Domino’s in accordance with Section 3 below.</w:t>
      </w:r>
    </w:p>
    <w:p>
      <w:pPr>
        <w:spacing w:after="0" w:line="139" w:lineRule="exact"/>
        <w:rPr>
          <w:rFonts w:ascii="Times New Roman" w:cs="Times New Roman" w:eastAsia="Times New Roman" w:hAnsi="Times New Roman"/>
          <w:sz w:val="18"/>
          <w:szCs w:val="18"/>
          <w:color w:val="auto"/>
        </w:rPr>
      </w:pPr>
    </w:p>
    <w:p>
      <w:pPr>
        <w:ind w:right="100" w:firstLine="8"/>
        <w:spacing w:after="0" w:line="275" w:lineRule="auto"/>
        <w:tabs>
          <w:tab w:leader="none" w:pos="1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xml:space="preserve">. For each flight conducted under this Agreement, User shall pay Domino’s the sum of the expenses of operating such flight to the extent prescribed by FAR 91.501(d),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sum of the expenses set forth in subparagraphs (a) - (j) below:</w:t>
      </w:r>
    </w:p>
    <w:p>
      <w:pPr>
        <w:spacing w:after="0" w:line="1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oil, lubricants, and other additives;</w:t>
      </w:r>
    </w:p>
    <w:p>
      <w:pPr>
        <w:spacing w:after="0" w:line="2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expenses of the crew, including food, lodging, and ground transportation;</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Hangar and tie-down costs away from the Aircraft’s base of operation;</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obtained for the specific flight;</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fees, airport taxes, and similar assessments;</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foreign permit, and similar fees directly related to the flight;</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In-flight food and beverages;</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ground transportation;</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excise taxes;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5" w:right="239" w:bottom="1440" w:gutter="0" w:footer="0" w:header="0"/>
        </w:sectPr>
      </w:pPr>
    </w:p>
    <w:bookmarkStart w:id="123" w:name="page124"/>
    <w:bookmarkEnd w:id="123"/>
    <w:p>
      <w:pPr>
        <w:ind w:left="892" w:hanging="446"/>
        <w:spacing w:after="0"/>
        <w:tabs>
          <w:tab w:leader="none" w:pos="89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Flight planning and weather contract services; and</w:t>
      </w:r>
    </w:p>
    <w:p>
      <w:pPr>
        <w:spacing w:after="0" w:line="2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charge equal to one hundred percent (100 %) of the expenses listed in subparagraph (a) above.</w:t>
      </w:r>
    </w:p>
    <w:p>
      <w:pPr>
        <w:spacing w:after="0" w:line="158" w:lineRule="exact"/>
        <w:rPr>
          <w:rFonts w:ascii="Times New Roman" w:cs="Times New Roman" w:eastAsia="Times New Roman" w:hAnsi="Times New Roman"/>
          <w:sz w:val="18"/>
          <w:szCs w:val="18"/>
          <w:color w:val="auto"/>
        </w:rPr>
      </w:pPr>
    </w:p>
    <w:p>
      <w:pPr>
        <w:ind w:left="-8" w:firstLine="8"/>
        <w:spacing w:after="0" w:line="254" w:lineRule="auto"/>
        <w:tabs>
          <w:tab w:leader="none" w:pos="1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Invoicing and Payment</w:t>
      </w:r>
      <w:r>
        <w:rPr>
          <w:rFonts w:ascii="Times New Roman" w:cs="Times New Roman" w:eastAsia="Times New Roman" w:hAnsi="Times New Roman"/>
          <w:sz w:val="18"/>
          <w:szCs w:val="18"/>
          <w:color w:val="auto"/>
        </w:rPr>
        <w:t>. All payments to be made to Domino’s by User hereunder shall be paid in the manner set forth in this Paragraph 3. Domino’s will pay to suppliers, employees, contractors and governmental entities all expenses related to the operation of the Aircraft hereunder in the ordinary course. As to each flight operated hereunder, Domino’s shall provide to User an invoice for the charges specified in Paragraph 2 of this Agreement (plus domestic or international air transportation excise taxes, as applicable, imposed by the Internal Revenue Code or other governmental charges which are collected by Domino’s as operator and remitted to the appropriate authority), such invoice to be issued by the thirtieth (30th) day of each calendar month for flights performed the preceding calendar month. User shall pay Domino’s the full amount of such invoice within ten (10) days of the date of the invoice. In the event Domino’s has not received supplier invoices for reimbursable charges listed in section 2 above relating to such flight prior to such invoicing, Domino’s shall issue supplemental invoice(s) for such charge(s) to User, and User shall pay such charge(s) within ten (10) days of the date of each supplemental invoice.</w:t>
      </w:r>
    </w:p>
    <w:p>
      <w:pPr>
        <w:spacing w:after="0" w:line="138" w:lineRule="exact"/>
        <w:rPr>
          <w:rFonts w:ascii="Times New Roman" w:cs="Times New Roman" w:eastAsia="Times New Roman" w:hAnsi="Times New Roman"/>
          <w:sz w:val="18"/>
          <w:szCs w:val="18"/>
          <w:color w:val="auto"/>
        </w:rPr>
      </w:pPr>
    </w:p>
    <w:p>
      <w:pPr>
        <w:ind w:left="-8" w:right="120" w:firstLine="8"/>
        <w:spacing w:after="0" w:line="258" w:lineRule="auto"/>
        <w:tabs>
          <w:tab w:leader="none" w:pos="1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Flight Requests</w:t>
      </w:r>
      <w:r>
        <w:rPr>
          <w:rFonts w:ascii="Times New Roman" w:cs="Times New Roman" w:eastAsia="Times New Roman" w:hAnsi="Times New Roman"/>
          <w:sz w:val="18"/>
          <w:szCs w:val="18"/>
          <w:color w:val="auto"/>
        </w:rPr>
        <w:t>. User will provide Domino’s with flight requests and proposed flight schedules as far in advance as possible and in any case at least twenty-four (24) hours in advance of User’s desired departure. Flight requests shall be in a form, whether oral or written, mutually convenient to and agreed upon by the parties. In addition to proposed schedules and departure times, User shall provide at least the following information for each proposed flight reasonably in advance of the desired departure time as required by Domino’s or its flight crew:</w:t>
      </w:r>
    </w:p>
    <w:p>
      <w:pPr>
        <w:spacing w:after="0" w:line="176"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point;</w:t>
      </w:r>
    </w:p>
    <w:p>
      <w:pPr>
        <w:spacing w:after="0" w:line="2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destination;</w:t>
      </w:r>
    </w:p>
    <w:p>
      <w:pPr>
        <w:spacing w:after="0" w:line="9"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time of flight;</w:t>
      </w:r>
    </w:p>
    <w:p>
      <w:pPr>
        <w:spacing w:after="0" w:line="9"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identity of anticipated passengers;</w:t>
      </w:r>
    </w:p>
    <w:p>
      <w:pPr>
        <w:spacing w:after="0" w:line="9"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extent of luggage and/or cargo to be carried;</w:t>
      </w:r>
    </w:p>
    <w:p>
      <w:pPr>
        <w:spacing w:after="0" w:line="9"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time of return flight, if any; and</w:t>
      </w:r>
    </w:p>
    <w:p>
      <w:pPr>
        <w:spacing w:after="0" w:line="9"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concerning the proposed flight that may be pertinent to or required by Domino’s or its flight crew.</w:t>
      </w:r>
    </w:p>
    <w:p>
      <w:pPr>
        <w:spacing w:after="0" w:line="158" w:lineRule="exact"/>
        <w:rPr>
          <w:rFonts w:ascii="Times New Roman" w:cs="Times New Roman" w:eastAsia="Times New Roman" w:hAnsi="Times New Roman"/>
          <w:sz w:val="18"/>
          <w:szCs w:val="18"/>
          <w:color w:val="auto"/>
        </w:rPr>
      </w:pPr>
    </w:p>
    <w:p>
      <w:pPr>
        <w:ind w:left="-8" w:right="380" w:firstLine="8"/>
        <w:spacing w:after="0" w:line="275" w:lineRule="auto"/>
        <w:tabs>
          <w:tab w:leader="none" w:pos="1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Aircraft Scheduling</w:t>
      </w:r>
      <w:r>
        <w:rPr>
          <w:rFonts w:ascii="Times New Roman" w:cs="Times New Roman" w:eastAsia="Times New Roman" w:hAnsi="Times New Roman"/>
          <w:sz w:val="18"/>
          <w:szCs w:val="18"/>
          <w:color w:val="auto"/>
        </w:rPr>
        <w:t>. Domino’s shall have final authority over all scheduling of the Aircraft, provided however that Domino’s will use reasonable efforts to accommodate User’s requests.</w:t>
      </w:r>
    </w:p>
    <w:p>
      <w:pPr>
        <w:spacing w:after="0" w:line="119" w:lineRule="exact"/>
        <w:rPr>
          <w:rFonts w:ascii="Times New Roman" w:cs="Times New Roman" w:eastAsia="Times New Roman" w:hAnsi="Times New Roman"/>
          <w:sz w:val="18"/>
          <w:szCs w:val="18"/>
          <w:color w:val="auto"/>
        </w:rPr>
      </w:pPr>
    </w:p>
    <w:p>
      <w:pPr>
        <w:ind w:left="-8" w:right="280" w:firstLine="8"/>
        <w:spacing w:after="0" w:line="256" w:lineRule="auto"/>
        <w:tabs>
          <w:tab w:leader="none" w:pos="1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Aircraft Maintenance</w:t>
      </w:r>
      <w:r>
        <w:rPr>
          <w:rFonts w:ascii="Times New Roman" w:cs="Times New Roman" w:eastAsia="Times New Roman" w:hAnsi="Times New Roman"/>
          <w:sz w:val="18"/>
          <w:szCs w:val="18"/>
          <w:color w:val="auto"/>
        </w:rPr>
        <w:t>. As between the parties hereto, Domino’s shall be solely responsible for securing scheduled and unscheduled maintenance, preventive maintenance and required or otherwise necessary inspections of the Aircraft, and shall take such requirements into account in scheduling the Aircraft. Performance of maintenance, preventive maintenance or inspection shall not be delayed or postponed for the purpose of scheduling the Aircraft unless such maintenance or inspection can safely be conducted at a later time in compliance with applicable laws, regulations and requirements, and such delay or postponement is consistent with the sound discretion of the pilot-in-command.</w:t>
      </w:r>
    </w:p>
    <w:p>
      <w:pPr>
        <w:spacing w:after="0" w:line="138"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Flight Crew</w:t>
      </w:r>
      <w:r>
        <w:rPr>
          <w:rFonts w:ascii="Times New Roman" w:cs="Times New Roman" w:eastAsia="Times New Roman" w:hAnsi="Times New Roman"/>
          <w:sz w:val="18"/>
          <w:szCs w:val="18"/>
          <w:color w:val="auto"/>
        </w:rPr>
        <w:t>. Domino’s shall provide, at its sole expense, qualified flight crew for all flight operations under this Agreement.</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12"/>
          </w:cols>
          <w:pgMar w:left="248" w:top="274" w:right="239" w:bottom="1440" w:gutter="0" w:footer="0" w:header="0"/>
        </w:sectPr>
      </w:pPr>
    </w:p>
    <w:bookmarkStart w:id="124" w:name="page125"/>
    <w:bookmarkEnd w:id="124"/>
    <w:p>
      <w:pPr>
        <w:ind w:left="-8" w:right="80" w:firstLine="8"/>
        <w:spacing w:after="0" w:line="252" w:lineRule="auto"/>
        <w:tabs>
          <w:tab w:leader="none" w:pos="1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Operational Authority and Control</w:t>
      </w:r>
      <w:r>
        <w:rPr>
          <w:rFonts w:ascii="Times New Roman" w:cs="Times New Roman" w:eastAsia="Times New Roman" w:hAnsi="Times New Roman"/>
          <w:sz w:val="18"/>
          <w:szCs w:val="18"/>
          <w:color w:val="auto"/>
        </w:rPr>
        <w:t>. Domino’s shall be responsible for the physical and technical operation of the Aircraft and the safe performance of all flights, and shall retain full authority and control including exclusive operational control and possession of the Aircraft at all times during the term of this Agreement. In accordance with applicable FARs, the qualified flight crew provided by Domino’s will exercise all required duties and responsibilities in regard to the safety of each flight conducted hereunder. The pilot-in-command shall have absolute discretion in all matters concerning the preparation of the Aircraft for flight and the flight itself, the load carried and its distribution, the decision whether or not a flight shall be undertaken, the route to be flown, the place where landings shall be made, and all other matters relating to operation of the Aircraft. User specifically agrees that the flight crew shall have final and complete authority to delay or cancel any flight for any reason or condition which in the sole judgment of the pilot-in-command could compromise the safety of the flight, and to take any other action which in the sole judgment of the pilot-in-command is necessitated by considerations of safety. No such action of the pilot-in-command shall create or support any liability to User or any other person for loss, injury, damage or delay. The parties further agree that Domino’s shall not be liable for delay or failure to furnish the Aircraft and crew pursuant to this Agreement when such failure is caused by government regulation or authority, mechanical difficulty or breakdown, war, terrorism, civil commotion, strikes or labor disputes, weather conditions, acts of God, or other circumstances beyond Domino’s reasonable control.</w:t>
      </w:r>
    </w:p>
    <w:p>
      <w:pPr>
        <w:spacing w:after="0" w:line="18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and Limitation of Liability</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8" w:right="140" w:firstLine="921"/>
        <w:spacing w:after="0" w:line="258" w:lineRule="auto"/>
        <w:tabs>
          <w:tab w:leader="none" w:pos="11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Domino’s will maintain or cause to be maintained in full force and effect throughout the term of this Agreement aircraft liability insurance in respect of the Aircraft in an amount at least equal to $100 million combined single limit for bodily injury to or death of persons (including passengers) and property damage liability. Domino’s shall use best efforts to procure such additional insurance coverage as User may request naming User as an additional insured; provided, that the cost of such additional insurance shall be borne by User pursuant to Paragraph 2(d) hereof.</w:t>
      </w:r>
    </w:p>
    <w:p>
      <w:pPr>
        <w:spacing w:after="0" w:line="136" w:lineRule="exact"/>
        <w:rPr>
          <w:rFonts w:ascii="Times New Roman" w:cs="Times New Roman" w:eastAsia="Times New Roman" w:hAnsi="Times New Roman"/>
          <w:sz w:val="18"/>
          <w:szCs w:val="18"/>
          <w:color w:val="auto"/>
        </w:rPr>
      </w:pPr>
    </w:p>
    <w:p>
      <w:pPr>
        <w:ind w:left="-8" w:right="140" w:firstLine="921"/>
        <w:spacing w:after="0" w:line="256" w:lineRule="auto"/>
        <w:tabs>
          <w:tab w:leader="none" w:pos="115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User agrees that the insurance specified in paragraph 9(a) shall provide its sole recourse for all claims, losses, liabilities, obligations, demands, suits, judgments or causes of action, penalties, fines, costs and expenses of any nature whatsoever, including attorneys’ fees and expenses for or on account of or arising out of, or in any way connected with the use of the Aircraft by User or its guests, including injury to or death of any persons, including User and its guests which may result from or arise out of the use or operation of the Aircraft during the term of this Agreement (“Claims”). This Section 9 shall survive termination of this Agreement.</w:t>
      </w:r>
    </w:p>
    <w:p>
      <w:pPr>
        <w:spacing w:after="0" w:line="17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User warrants that:</w:t>
      </w:r>
    </w:p>
    <w:p>
      <w:pPr>
        <w:spacing w:after="0" w:line="171" w:lineRule="exact"/>
        <w:rPr>
          <w:rFonts w:ascii="Times New Roman" w:cs="Times New Roman" w:eastAsia="Times New Roman" w:hAnsi="Times New Roman"/>
          <w:sz w:val="18"/>
          <w:szCs w:val="18"/>
          <w:color w:val="auto"/>
        </w:rPr>
      </w:pPr>
    </w:p>
    <w:p>
      <w:pPr>
        <w:ind w:left="-8" w:firstLine="921"/>
        <w:spacing w:after="0" w:line="275" w:lineRule="auto"/>
        <w:tabs>
          <w:tab w:leader="none" w:pos="11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use the Aircraft under this Agreement for and only for its own account, including the carriage of its guests, and will not use the Aircraft for the purpose of providing transportation of passengers or cargo for compensation or hire;</w:t>
      </w:r>
    </w:p>
    <w:p>
      <w:pPr>
        <w:spacing w:after="0" w:line="119" w:lineRule="exact"/>
        <w:rPr>
          <w:rFonts w:ascii="Times New Roman" w:cs="Times New Roman" w:eastAsia="Times New Roman" w:hAnsi="Times New Roman"/>
          <w:sz w:val="18"/>
          <w:szCs w:val="18"/>
          <w:color w:val="auto"/>
        </w:rPr>
      </w:pPr>
    </w:p>
    <w:p>
      <w:pPr>
        <w:ind w:left="-8" w:right="160" w:firstLine="921"/>
        <w:spacing w:after="0" w:line="275" w:lineRule="auto"/>
        <w:tabs>
          <w:tab w:leader="none" w:pos="115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permit any lien, security interest or other charge or encumbrance to attach against the Aircraft as a result of its action or inaction, and shall not convey, mortgage, assign, lease or in any way alienate the Aircraft or Domino’s rights hereunder; and</w:t>
      </w:r>
    </w:p>
    <w:p>
      <w:pPr>
        <w:spacing w:after="0" w:line="119" w:lineRule="exact"/>
        <w:rPr>
          <w:rFonts w:ascii="Times New Roman" w:cs="Times New Roman" w:eastAsia="Times New Roman" w:hAnsi="Times New Roman"/>
          <w:sz w:val="18"/>
          <w:szCs w:val="18"/>
          <w:color w:val="auto"/>
        </w:rPr>
      </w:pPr>
    </w:p>
    <w:p>
      <w:pPr>
        <w:ind w:left="-8" w:right="40" w:firstLine="921"/>
        <w:spacing w:after="0" w:line="289" w:lineRule="auto"/>
        <w:tabs>
          <w:tab w:leader="none" w:pos="1144"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term of this Agreement, it will abide by and conform to and will cause all passengers to abide by and conform to all such laws, governmental and airport orders, rules, and regulations as shall from time to time be in effect relating in any way to the operation or use of the Aircraft under Part</w:t>
      </w:r>
    </w:p>
    <w:p>
      <w:pPr>
        <w:spacing w:after="0" w:line="1" w:lineRule="exact"/>
        <w:rPr>
          <w:rFonts w:ascii="Times New Roman" w:cs="Times New Roman" w:eastAsia="Times New Roman" w:hAnsi="Times New Roman"/>
          <w:sz w:val="16"/>
          <w:szCs w:val="16"/>
          <w:color w:val="auto"/>
        </w:rPr>
      </w:pPr>
    </w:p>
    <w:p>
      <w:pPr>
        <w:ind w:left="212" w:hanging="212"/>
        <w:spacing w:after="0"/>
        <w:tabs>
          <w:tab w:leader="none" w:pos="21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FARs.</w:t>
      </w:r>
    </w:p>
    <w:p>
      <w:pPr>
        <w:spacing w:after="0" w:line="14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92"/>
          </w:cols>
          <w:pgMar w:left="248" w:top="274" w:right="259" w:bottom="1440" w:gutter="0" w:footer="0" w:header="0"/>
        </w:sectPr>
      </w:pPr>
    </w:p>
    <w:bookmarkStart w:id="125" w:name="page126"/>
    <w:bookmarkEnd w:id="125"/>
    <w:p>
      <w:pPr>
        <w:ind w:firstLine="8"/>
        <w:spacing w:after="0" w:line="275" w:lineRule="auto"/>
        <w:tabs>
          <w:tab w:leader="none" w:pos="26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of Operations</w:t>
      </w:r>
      <w:r>
        <w:rPr>
          <w:rFonts w:ascii="Times New Roman" w:cs="Times New Roman" w:eastAsia="Times New Roman" w:hAnsi="Times New Roman"/>
          <w:sz w:val="18"/>
          <w:szCs w:val="18"/>
          <w:color w:val="auto"/>
        </w:rPr>
        <w:t>. For purposes of this Agreement, the base of operation of the Aircraft is Willow Run, Ypsilanti, Michigan; provided, that such base may be changed upon notice from Domino’s to User.</w:t>
      </w:r>
    </w:p>
    <w:p>
      <w:pPr>
        <w:spacing w:after="0" w:line="120" w:lineRule="exact"/>
        <w:rPr>
          <w:sz w:val="20"/>
          <w:szCs w:val="20"/>
          <w:color w:val="auto"/>
        </w:rPr>
      </w:pPr>
    </w:p>
    <w:p>
      <w:pPr>
        <w:jc w:val="both"/>
        <w:ind w:right="120" w:firstLine="8"/>
        <w:spacing w:after="0" w:line="258" w:lineRule="auto"/>
        <w:tabs>
          <w:tab w:leader="none" w:pos="2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and Communications</w:t>
      </w:r>
      <w:r>
        <w:rPr>
          <w:rFonts w:ascii="Times New Roman" w:cs="Times New Roman" w:eastAsia="Times New Roman" w:hAnsi="Times New Roman"/>
          <w:sz w:val="18"/>
          <w:szCs w:val="18"/>
          <w:color w:val="auto"/>
        </w:rPr>
        <w:t>. All notices and other communications under this Agreement shall be in writing (except as permitted in Paragraph 4) and shall be given (and shall be deemed to have been duly given upon receipt or refusal to accept receipt) by personal delivery, the next business day if given by facsimile (with a simultaneous confirmation copy sent by first class mail properly addressed and postage prepaid) or by a reputable overnight courier service, addressed as follows:</w:t>
      </w:r>
    </w:p>
    <w:p>
      <w:pPr>
        <w:sectPr>
          <w:pgSz w:w="11900" w:h="16838" w:orient="portrait"/>
          <w:cols w:equalWidth="0" w:num="1">
            <w:col w:w="11420"/>
          </w:cols>
          <w:pgMar w:left="240" w:top="274" w:right="2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Domino’s: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Domino’s Pizza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Frank Lloyd Wright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 Arbor, Michigan 48106-099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(734) 930-3678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(734) 327-8877</w:t>
      </w:r>
    </w:p>
    <w:p>
      <w:pPr>
        <w:spacing w:after="0" w:line="200" w:lineRule="exact"/>
        <w:rPr>
          <w:sz w:val="20"/>
          <w:szCs w:val="20"/>
          <w:color w:val="auto"/>
        </w:rPr>
      </w:pPr>
    </w:p>
    <w:p>
      <w:pPr>
        <w:sectPr>
          <w:pgSz w:w="11900" w:h="16838" w:orient="portrait"/>
          <w:cols w:equalWidth="0" w:num="2">
            <w:col w:w="1120" w:space="720"/>
            <w:col w:w="9580"/>
          </w:cols>
          <w:pgMar w:left="240" w:top="274"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User: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 Patrick Doyle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Frank Lloyd Wright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 Arbor, MI 48106-0997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734-930-33367</w:t>
      </w:r>
    </w:p>
    <w:p>
      <w:pPr>
        <w:spacing w:after="0" w:line="159" w:lineRule="exact"/>
        <w:rPr>
          <w:sz w:val="20"/>
          <w:szCs w:val="20"/>
          <w:color w:val="auto"/>
        </w:rPr>
      </w:pPr>
    </w:p>
    <w:p>
      <w:pPr>
        <w:sectPr>
          <w:pgSz w:w="11900" w:h="16838" w:orient="portrait"/>
          <w:cols w:equalWidth="0" w:num="2">
            <w:col w:w="1120" w:space="720"/>
            <w:col w:w="9580"/>
          </w:cols>
          <w:pgMar w:left="240" w:top="27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or to such other person or address as either party shall from time to time designate by writing to the other party.</w:t>
      </w:r>
    </w:p>
    <w:p>
      <w:pPr>
        <w:spacing w:after="0" w:line="171" w:lineRule="exact"/>
        <w:rPr>
          <w:sz w:val="20"/>
          <w:szCs w:val="20"/>
          <w:color w:val="auto"/>
        </w:rPr>
      </w:pPr>
    </w:p>
    <w:p>
      <w:pPr>
        <w:ind w:right="80" w:firstLine="8"/>
        <w:spacing w:after="0" w:line="262" w:lineRule="auto"/>
        <w:tabs>
          <w:tab w:leader="none" w:pos="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Acts</w:t>
      </w:r>
      <w:r>
        <w:rPr>
          <w:rFonts w:ascii="Times New Roman" w:cs="Times New Roman" w:eastAsia="Times New Roman" w:hAnsi="Times New Roman"/>
          <w:sz w:val="18"/>
          <w:szCs w:val="18"/>
          <w:color w:val="auto"/>
        </w:rPr>
        <w:t>. Domino’s and User shall from time to time perform such other and further acts and execute such other and further instruments as may be required by law or may be reasonably necessary (i) to carry out the intent and purpose of this Agreement, and (ii) to establish, maintain and protect the respective rights and remedies of the other party.</w:t>
      </w:r>
    </w:p>
    <w:p>
      <w:pPr>
        <w:spacing w:after="0" w:line="132" w:lineRule="exact"/>
        <w:rPr>
          <w:rFonts w:ascii="Times New Roman" w:cs="Times New Roman" w:eastAsia="Times New Roman" w:hAnsi="Times New Roman"/>
          <w:sz w:val="18"/>
          <w:szCs w:val="18"/>
          <w:color w:val="auto"/>
        </w:rPr>
      </w:pPr>
    </w:p>
    <w:p>
      <w:pPr>
        <w:ind w:right="520" w:firstLine="8"/>
        <w:spacing w:after="0" w:line="275" w:lineRule="auto"/>
        <w:tabs>
          <w:tab w:leader="none" w:pos="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Neither this Agreement nor any party’s interest herein shall be assignable to any other party. This Agreement shall inure to the benefit of and be binding upon the parties hereto, their representatives, successors and assigns.</w:t>
      </w:r>
    </w:p>
    <w:p>
      <w:pPr>
        <w:spacing w:after="0" w:line="119" w:lineRule="exact"/>
        <w:rPr>
          <w:rFonts w:ascii="Times New Roman" w:cs="Times New Roman" w:eastAsia="Times New Roman" w:hAnsi="Times New Roman"/>
          <w:sz w:val="18"/>
          <w:szCs w:val="18"/>
          <w:color w:val="auto"/>
        </w:rPr>
      </w:pPr>
    </w:p>
    <w:p>
      <w:pPr>
        <w:ind w:right="80" w:firstLine="8"/>
        <w:spacing w:after="0" w:line="256" w:lineRule="auto"/>
        <w:tabs>
          <w:tab w:leader="none" w:pos="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Either party may terminate this Agreement for any reason upon written notice to the other, such termination to become effective ten (10) days from the date of the notice; provided, that this Agreement may be terminated as a result of a breach by either party of its obligations under this Agreement on ten (10) days written notice by the non-breaching party to the breaching party; and provided further, that this Agreement may be terminated on such shorter notice as may be required to comply with applicable laws, regulations, the requirements of any financial institution with a security or other interest in the Aircraft, insurance requirements or in the event the insurance required hereunder is not in full force and effect.</w:t>
      </w:r>
    </w:p>
    <w:p>
      <w:pPr>
        <w:spacing w:after="0" w:line="13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under and the legal relations between the parties shall be governed by the laws of the State of Michigan.</w:t>
      </w:r>
    </w:p>
    <w:p>
      <w:pPr>
        <w:spacing w:after="0" w:line="194" w:lineRule="exact"/>
        <w:rPr>
          <w:rFonts w:ascii="Times New Roman" w:cs="Times New Roman" w:eastAsia="Times New Roman" w:hAnsi="Times New Roman"/>
          <w:sz w:val="16"/>
          <w:szCs w:val="16"/>
          <w:color w:val="auto"/>
        </w:rPr>
      </w:pPr>
    </w:p>
    <w:p>
      <w:pPr>
        <w:ind w:right="580" w:firstLine="8"/>
        <w:spacing w:after="0" w:line="275" w:lineRule="auto"/>
        <w:tabs>
          <w:tab w:leader="none" w:pos="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illegal, invalid or unenforceable, the legality, validity and enforceability of the remaining provisions shall not be affected or impaired.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type w:val="continuous"/>
        </w:sectPr>
      </w:pPr>
    </w:p>
    <w:bookmarkStart w:id="126" w:name="page127"/>
    <w:bookmarkEnd w:id="126"/>
    <w:p>
      <w:pPr>
        <w:ind w:right="540" w:firstLine="8"/>
        <w:spacing w:after="0" w:line="262" w:lineRule="auto"/>
        <w:tabs>
          <w:tab w:leader="none" w:pos="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or Modification</w:t>
      </w:r>
      <w:r>
        <w:rPr>
          <w:rFonts w:ascii="Times New Roman" w:cs="Times New Roman" w:eastAsia="Times New Roman" w:hAnsi="Times New Roman"/>
          <w:sz w:val="18"/>
          <w:szCs w:val="18"/>
          <w:color w:val="auto"/>
        </w:rPr>
        <w:t>. This Agreement constitutes the entire agreement between the parties with respect to the subject matter hereof and is not intended to confer upon any person or entity any rights or remedies hereunder which are not expressly granted herein. This Agreement may be amended or modified only in writing duly executed by the parties hereto.</w:t>
      </w:r>
    </w:p>
    <w:p>
      <w:pPr>
        <w:spacing w:after="0" w:line="13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 IN LEASING STATEMENT UNDER SECTION 91.23 OF THE FEDERAL AVIATION REGULATIONS.</w:t>
      </w:r>
    </w:p>
    <w:p>
      <w:pPr>
        <w:spacing w:after="0" w:line="212" w:lineRule="exact"/>
        <w:rPr>
          <w:sz w:val="20"/>
          <w:szCs w:val="20"/>
          <w:color w:val="auto"/>
        </w:rPr>
      </w:pPr>
    </w:p>
    <w:p>
      <w:pPr>
        <w:ind w:left="460" w:right="180" w:hanging="452"/>
        <w:spacing w:after="0" w:line="258"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DOMINO’S HEREBY CERTIFIES THAT THE AIRCRAFT HAS BEEN INSPECTED AND MAINTAINED WITHIN THE TWELVE (12) MONTH PERIOD PRECEDING THE DATE OF THIS AGREEMENT, OR SUCH SHORTER PERIOD AS DOMINO’S SHALL HAVE HAD POSSESSION OF THE AIRCRAFT, IN ACCORDANCE WITH THE PROVISIONS OF FAR PART 91 AND THAT ALL APPLICABLE REQUIREMENTS FOR THE MAINTENANCE AND INSPECTION THEREUNDER HAVE BEEN MET.</w:t>
      </w:r>
    </w:p>
    <w:p>
      <w:pPr>
        <w:spacing w:after="0" w:line="176"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DOMINO’S AGREES, CERTIFIES, AND KNOWINGLY ACKNOWLEDGES THAT WHEN THE AIRCRAFT IS USED UNDER THIS AGREEMENT, DOMINO’S SHALL BE KNOWN AS, CONSIDERED, AND SHALL IN FACT BE THE OPERATOR OF THE AIRCRAFT.</w:t>
      </w:r>
    </w:p>
    <w:p>
      <w:pPr>
        <w:spacing w:after="0" w:line="16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Domino’s Pizza LLC</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30 Frank Lloyd Wright Drive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Ann Arbor, Michigan 48106-099</w:t>
      </w:r>
    </w:p>
    <w:p>
      <w:pPr>
        <w:spacing w:after="0" w:line="213" w:lineRule="exact"/>
        <w:rPr>
          <w:sz w:val="20"/>
          <w:szCs w:val="20"/>
          <w:color w:val="auto"/>
        </w:rPr>
      </w:pPr>
    </w:p>
    <w:p>
      <w:pPr>
        <w:ind w:left="460" w:right="60" w:hanging="452"/>
        <w:spacing w:after="0" w:line="256"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UNDERSTAND THAT AN EXPLANATION OF FACTORS AND PERTINENT FEDERAL AVIATION REGULATIONS BEARING ON OPERATIONAL CONTROL CAN BE OBTAINED FROM THE NEAREST FAA FLIGHT STANDARDS DISTRICT OFFICE, GADO, OR ACDO. DOMINO’S AGREES TO SEND AN EXECUTED COPY OF THIS AGREEMENT FOR AND ON BEHALF OF BOTH PARTIES TO: FLIGHT STANDARDS TECHNICAL DIVISION, P.O. BOX 25724, OKLAHOMA CITY, OKLAHOMA 73125, WITHIN TWENTY-FOUR (24) HOURS OF ITS EXECUTION, AS PROVIDED BY FAR 91-23(c)(1).</w:t>
      </w:r>
    </w:p>
    <w:p>
      <w:pPr>
        <w:spacing w:after="0" w:line="13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IN WITNESS WHEREOF, the parties hereto have caused the signature of their authorized representatives to be affixed below on the day and year first above written. The persons signing below warrant their authority to sign.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DOMINO’S PIZZA LLC</w:t>
            </w: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USER:</w:t>
            </w:r>
          </w:p>
        </w:tc>
        <w:tc>
          <w:tcPr>
            <w:tcW w:w="4780" w:type="dxa"/>
            <w:vAlign w:val="bottom"/>
          </w:tcPr>
          <w:p>
            <w:pPr>
              <w:spacing w:after="0"/>
              <w:rPr>
                <w:sz w:val="19"/>
                <w:szCs w:val="19"/>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 Wendy A. Beck</w:t>
            </w: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 J. Patrick Doyle</w:t>
            </w:r>
          </w:p>
        </w:tc>
      </w:tr>
      <w:tr>
        <w:trPr>
          <w:trHeight w:val="120"/>
        </w:trPr>
        <w:tc>
          <w:tcPr>
            <w:tcW w:w="6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24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r>
      <w:tr>
        <w:trPr>
          <w:trHeight w:val="38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Wendy A. Beck</w:t>
            </w:r>
          </w:p>
        </w:tc>
        <w:tc>
          <w:tcPr>
            <w:tcW w:w="6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Name: J. Patrick Doyle</w:t>
            </w:r>
          </w:p>
        </w:tc>
      </w:tr>
      <w:tr>
        <w:trPr>
          <w:trHeight w:val="28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65"/>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5</w:t>
            </w:r>
          </w:p>
        </w:tc>
        <w:tc>
          <w:tcPr>
            <w:tcW w:w="4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-671195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-671195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-671195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-671195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10.52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78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Domino’s Pizza, Inc.</w:t>
            </w: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78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Independent Director Compensation Schedule</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sets forth the compensation received by independent directors of Domino’s Pizza, Inc.:</w:t>
            </w: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72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Compensation Type</w:t>
            </w:r>
          </w:p>
        </w:tc>
        <w:tc>
          <w:tcPr>
            <w:tcW w:w="180" w:type="dxa"/>
            <w:vAlign w:val="bottom"/>
          </w:tcPr>
          <w:p>
            <w:pPr>
              <w:spacing w:after="0"/>
              <w:rPr>
                <w:sz w:val="24"/>
                <w:szCs w:val="24"/>
                <w:color w:val="auto"/>
              </w:rPr>
            </w:pPr>
          </w:p>
        </w:tc>
        <w:tc>
          <w:tcPr>
            <w:tcW w:w="21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w:t>
            </w: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$46,000 per year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Meeting Fee</w:t>
            </w: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$2,000 per meeting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Meeting Fee</w:t>
            </w: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$1,500 per meeting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Chairperson Retainer</w:t>
            </w: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$20,000 per year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Chairperson Retainer</w:t>
            </w: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$15,000 per year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 Retainer</w:t>
            </w: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$10,000 per year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Stock Option Grant</w:t>
            </w: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6,000 shares per year</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Restricted Stock Grant</w:t>
            </w: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6,000 shares per year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ind w:left="10360"/>
        <w:spacing w:after="0"/>
        <w:rPr>
          <w:sz w:val="20"/>
          <w:szCs w:val="20"/>
          <w:color w:val="auto"/>
        </w:rPr>
      </w:pPr>
      <w:r>
        <w:rPr>
          <w:rFonts w:ascii="Times New Roman" w:cs="Times New Roman" w:eastAsia="Times New Roman" w:hAnsi="Times New Roman"/>
          <w:sz w:val="16"/>
          <w:szCs w:val="16"/>
          <w:color w:val="auto"/>
        </w:rPr>
        <w:t>EXHIBIT 12.1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19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83820</wp:posOffset>
            </wp:positionV>
            <wp:extent cx="32073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December 28,</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8"/>
        </w:trPr>
        <w:tc>
          <w:tcPr>
            <w:tcW w:w="63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2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69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173,251</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43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69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as defined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235,097</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228,376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198,749</w:t>
            </w:r>
          </w:p>
        </w:tc>
        <w:tc>
          <w:tcPr>
            <w:tcW w:w="43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210,311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$ 259,118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Fixed charges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48,755</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130,374</w:t>
            </w:r>
          </w:p>
        </w:tc>
        <w:tc>
          <w:tcPr>
            <w:tcW w:w="43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Portion of rental expense representative of interest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69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fixed 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61,846</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143,190</w:t>
            </w:r>
          </w:p>
        </w:tc>
        <w:tc>
          <w:tcPr>
            <w:tcW w:w="43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127,441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3.8x</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3.4x</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1.4x</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69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1.7x</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0" w:type="dxa"/>
            <w:vAlign w:val="bottom"/>
            <w:tcBorders>
              <w:bottom w:val="single" w:sz="8" w:color="808080"/>
            </w:tcBorders>
          </w:tcPr>
          <w:p>
            <w:pPr>
              <w:spacing w:after="0"/>
              <w:rPr>
                <w:sz w:val="10"/>
                <w:szCs w:val="10"/>
                <w:color w:val="auto"/>
              </w:rPr>
            </w:pPr>
          </w:p>
        </w:tc>
        <w:tc>
          <w:tcPr>
            <w:tcW w:w="69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-172720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-172720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-172720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-172720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-172720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-172720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-172720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-172720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4" w:lineRule="exact"/>
        <w:rPr>
          <w:sz w:val="20"/>
          <w:szCs w:val="20"/>
          <w:color w:val="auto"/>
        </w:rPr>
      </w:pPr>
    </w:p>
    <w:p>
      <w:pPr>
        <w:ind w:left="460" w:right="20" w:hanging="452"/>
        <w:spacing w:after="0" w:line="275"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are determined as defined in instructions for Item 503 of Regulation S-K and include interest expense and our estimate of interest included in rental expense (one-third of rent expense under operating leases).</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16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SIGNIFICANT SUBSIDIARIES OF DOMINO’S PIZZA, INC.</w:t>
      </w:r>
    </w:p>
    <w:p>
      <w:pPr>
        <w:sectPr>
          <w:pgSz w:w="11900" w:h="16838" w:orient="portrait"/>
          <w:cols w:equalWidth="0" w:num="1">
            <w:col w:w="10220"/>
          </w:cols>
          <w:pgMar w:left="1440" w:top="125" w:right="239" w:bottom="1440" w:gutter="0" w:footer="0" w:header="0"/>
        </w:sectPr>
      </w:pPr>
    </w:p>
    <w:p>
      <w:pPr>
        <w:spacing w:after="0" w:line="2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Pizza LLC</w:t>
      </w:r>
    </w:p>
    <w:p>
      <w:pPr>
        <w:spacing w:after="0" w:line="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IP Holder LLC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Pizza International LLC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National Advertising Fund Inc.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Pizza Master Issuer LLC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Pizza Distribution LLC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Domino’s Pizza Franchising LLC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Domino’s Pizza International Franchising Inc.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Michigan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Michigan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5960" w:space="720"/>
            <w:col w:w="3540"/>
          </w:cols>
          <w:pgMar w:left="1440" w:top="125" w:right="239" w:bottom="1440" w:gutter="0" w:footer="0" w:header="0"/>
          <w:type w:val="continuous"/>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333-118486, 333-121830, 333-121923, 333-161971 and 333-161972) of Domino’s Pizza, Inc. of our report dated March 2, 2010 relating to the financial statements, financial statement schedules and the effectiveness of internal control over financial reporting, which appears in this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2010</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DOMINO’S PIZZA,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Brandon, certify that:</w:t>
      </w:r>
    </w:p>
    <w:p>
      <w:pPr>
        <w:spacing w:after="0" w:line="212"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Domino’s Pizza, Inc.;</w:t>
      </w:r>
    </w:p>
    <w:p>
      <w:pPr>
        <w:spacing w:after="0" w:line="21" w:lineRule="exact"/>
        <w:rPr>
          <w:rFonts w:ascii="Times New Roman" w:cs="Times New Roman" w:eastAsia="Times New Roman" w:hAnsi="Times New Roman"/>
          <w:sz w:val="18"/>
          <w:szCs w:val="18"/>
          <w:color w:val="auto"/>
        </w:rPr>
      </w:pPr>
    </w:p>
    <w:p>
      <w:pPr>
        <w:ind w:left="460" w:right="80" w:hanging="452"/>
        <w:spacing w:after="0" w:line="281" w:lineRule="auto"/>
        <w:tabs>
          <w:tab w:leader="none" w:pos="4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20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900" w:right="60" w:hanging="446"/>
        <w:spacing w:after="0" w:line="250" w:lineRule="auto"/>
        <w:tabs>
          <w:tab w:leader="none" w:pos="9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00" w:right="260" w:hanging="446"/>
        <w:spacing w:after="0" w:line="250" w:lineRule="auto"/>
        <w:tabs>
          <w:tab w:leader="none" w:pos="9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900" w:right="100" w:hanging="446"/>
        <w:spacing w:after="0" w:line="250" w:lineRule="auto"/>
        <w:tabs>
          <w:tab w:leader="none" w:pos="9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46"/>
        <w:spacing w:after="0" w:line="250" w:lineRule="auto"/>
        <w:tabs>
          <w:tab w:leader="none" w:pos="9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640" w:hanging="452"/>
        <w:spacing w:after="0" w:line="250"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ind w:left="900" w:right="20" w:hanging="446"/>
        <w:spacing w:after="0" w:line="250" w:lineRule="auto"/>
        <w:tabs>
          <w:tab w:leader="none" w:pos="9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March 2, 2010</w:t>
            </w:r>
          </w:p>
        </w:tc>
        <w:tc>
          <w:tcPr>
            <w:tcW w:w="6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/s/ David A. Brandon</w:t>
            </w:r>
          </w:p>
        </w:tc>
      </w:tr>
      <w:tr>
        <w:trPr>
          <w:trHeight w:val="110"/>
        </w:trPr>
        <w:tc>
          <w:tcPr>
            <w:tcW w:w="390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r>
      <w:tr>
        <w:trPr>
          <w:trHeight w:val="303"/>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6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David A. Brandon</w:t>
            </w:r>
          </w:p>
        </w:tc>
      </w:tr>
      <w:tr>
        <w:trPr>
          <w:trHeight w:val="228"/>
        </w:trPr>
        <w:tc>
          <w:tcPr>
            <w:tcW w:w="3900" w:type="dxa"/>
            <w:vAlign w:val="bottom"/>
          </w:tcPr>
          <w:p>
            <w:pPr>
              <w:spacing w:after="0"/>
              <w:rPr>
                <w:sz w:val="19"/>
                <w:szCs w:val="19"/>
                <w:color w:val="auto"/>
              </w:rPr>
            </w:pPr>
          </w:p>
        </w:tc>
        <w:tc>
          <w:tcPr>
            <w:tcW w:w="6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DOMINO’S PIZZA,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Wendy A. Beck, certify that:</w:t>
      </w:r>
    </w:p>
    <w:p>
      <w:pPr>
        <w:spacing w:after="0" w:line="212"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Domino’s Pizza, Inc.;</w:t>
      </w:r>
    </w:p>
    <w:p>
      <w:pPr>
        <w:spacing w:after="0" w:line="21" w:lineRule="exact"/>
        <w:rPr>
          <w:rFonts w:ascii="Times New Roman" w:cs="Times New Roman" w:eastAsia="Times New Roman" w:hAnsi="Times New Roman"/>
          <w:sz w:val="18"/>
          <w:szCs w:val="18"/>
          <w:color w:val="auto"/>
        </w:rPr>
      </w:pPr>
    </w:p>
    <w:p>
      <w:pPr>
        <w:ind w:left="460" w:right="80" w:hanging="452"/>
        <w:spacing w:after="0" w:line="281" w:lineRule="auto"/>
        <w:tabs>
          <w:tab w:leader="none" w:pos="4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20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900" w:right="60" w:hanging="446"/>
        <w:spacing w:after="0" w:line="250" w:lineRule="auto"/>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00" w:right="260" w:hanging="446"/>
        <w:spacing w:after="0" w:line="250" w:lineRule="auto"/>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900" w:right="100" w:hanging="446"/>
        <w:spacing w:after="0" w:line="250" w:lineRule="auto"/>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46"/>
        <w:spacing w:after="0" w:line="250" w:lineRule="auto"/>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640" w:hanging="452"/>
        <w:spacing w:after="0" w:line="250"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ind w:left="900" w:right="20" w:hanging="446"/>
        <w:spacing w:after="0" w:line="250" w:lineRule="auto"/>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March 2, 2010</w:t>
            </w:r>
          </w:p>
        </w:tc>
        <w:tc>
          <w:tcPr>
            <w:tcW w:w="6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/s/ Wendy A. Beck</w:t>
            </w:r>
          </w:p>
        </w:tc>
      </w:tr>
      <w:tr>
        <w:trPr>
          <w:trHeight w:val="110"/>
        </w:trPr>
        <w:tc>
          <w:tcPr>
            <w:tcW w:w="390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r>
      <w:tr>
        <w:trPr>
          <w:trHeight w:val="303"/>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6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Wendy A. Beck</w:t>
            </w:r>
          </w:p>
        </w:tc>
      </w:tr>
      <w:tr>
        <w:trPr>
          <w:trHeight w:val="228"/>
        </w:trPr>
        <w:tc>
          <w:tcPr>
            <w:tcW w:w="3900" w:type="dxa"/>
            <w:vAlign w:val="bottom"/>
          </w:tcPr>
          <w:p>
            <w:pPr>
              <w:spacing w:after="0"/>
              <w:rPr>
                <w:sz w:val="19"/>
                <w:szCs w:val="19"/>
                <w:color w:val="auto"/>
              </w:rPr>
            </w:pPr>
          </w:p>
        </w:tc>
        <w:tc>
          <w:tcPr>
            <w:tcW w:w="6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Domino’s Pizza, Inc. (the “Company”) on Form 10-K for the period ended January 3, 2010, as filed with the Securities and Exchange Commission on the date hereof (the “Report”), I, David A. Brandon, Chief Executive Officer of the Company, certify, pursuant to 18 U.S.C. § 1350, adopted pursuant to §906 of the Sarbanes-Oxley Act of 2002, that based on my knowledge:</w:t>
      </w:r>
    </w:p>
    <w:p>
      <w:pPr>
        <w:spacing w:after="0" w:line="173" w:lineRule="exact"/>
        <w:rPr>
          <w:sz w:val="20"/>
          <w:szCs w:val="20"/>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6860" w:right="400" w:hanging="6406"/>
        <w:spacing w:after="0" w:line="501" w:lineRule="auto"/>
        <w:tabs>
          <w:tab w:leader="none" w:pos="9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-67310</wp:posOffset>
            </wp:positionV>
            <wp:extent cx="28987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David A. Brandon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Dated: March 2, 2010</w:t>
      </w:r>
    </w:p>
    <w:p>
      <w:pPr>
        <w:spacing w:after="0" w:line="17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Domino’s Pizza, Inc. (the “Company”) on Form 10-K for the period ended January 3, 2010, as filed with the Securities and Exchange Commission on the date hereof (the “Report”), I, Wendy Beck, Chief Financial Officer of the Company, certify, pursuant to 18 U.S.C. § 1350, adopted pursuant to §906 of the Sarbanes-Oxley Act of 2002, that based on my knowledge:</w:t>
      </w:r>
    </w:p>
    <w:p>
      <w:pPr>
        <w:spacing w:after="0" w:line="173"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6860" w:right="400" w:hanging="6406"/>
        <w:spacing w:after="0" w:line="501" w:lineRule="auto"/>
        <w:tabs>
          <w:tab w:leader="none" w:pos="9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Wendy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-67310</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Wendy A. Beck</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March 2, 2010</w:t>
      </w:r>
    </w:p>
    <w:p>
      <w:pPr>
        <w:spacing w:after="0" w:line="17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upperLetter"/>
      <w:start w:val="24"/>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lowerRoman"/>
      <w:start w:val="2"/>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2"/>
    </w:lvl>
  </w:abstractNum>
  <w:abstractNum w:abstractNumId="30">
    <w:nsid w:val="741226BB"/>
    <w:multiLevelType w:val="hybridMultilevel"/>
    <w:lvl w:ilvl="0">
      <w:lvlJc w:val="left"/>
      <w:lvlText w:val="(%1)"/>
      <w:numFmt w:val="decimal"/>
      <w:start w:val="3"/>
    </w:lvl>
  </w:abstractNum>
  <w:abstractNum w:abstractNumId="31">
    <w:nsid w:val="D34B6A8"/>
    <w:multiLevelType w:val="hybridMultilevel"/>
    <w:lvl w:ilvl="0">
      <w:lvlJc w:val="left"/>
      <w:lvlText w:val="(%1)"/>
      <w:numFmt w:val="decimal"/>
      <w:start w:val="4"/>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5"/>
    </w:lvl>
  </w:abstractNum>
  <w:abstractNum w:abstractNumId="34">
    <w:nsid w:val="61574095"/>
    <w:multiLevelType w:val="hybridMultilevel"/>
    <w:lvl w:ilvl="0">
      <w:lvlJc w:val="left"/>
      <w:lvlText w:val="(%1)"/>
      <w:numFmt w:val="decimal"/>
      <w:start w:val="6"/>
    </w:lvl>
  </w:abstractNum>
  <w:abstractNum w:abstractNumId="35">
    <w:nsid w:val="7E0C57B1"/>
    <w:multiLevelType w:val="hybridMultilevel"/>
    <w:lvl w:ilvl="0">
      <w:lvlJc w:val="left"/>
      <w:lvlText w:val="(%1)"/>
      <w:numFmt w:val="decimal"/>
      <w:start w:val="7"/>
    </w:lvl>
  </w:abstractNum>
  <w:abstractNum w:abstractNumId="36">
    <w:nsid w:val="77AE35EB"/>
    <w:multiLevelType w:val="hybridMultilevel"/>
    <w:lvl w:ilvl="0">
      <w:lvlJc w:val="left"/>
      <w:lvlText w:val="(%1)"/>
      <w:numFmt w:val="decimal"/>
      <w:start w:val="8"/>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9"/>
    </w:lvl>
  </w:abstractNum>
  <w:abstractNum w:abstractNumId="39">
    <w:nsid w:val="5FF87E05"/>
    <w:multiLevelType w:val="hybridMultilevel"/>
    <w:lvl w:ilvl="0">
      <w:lvlJc w:val="left"/>
      <w:lvlText w:val="%1."/>
      <w:numFmt w:val="decimal"/>
      <w:start w:val="3"/>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2"/>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decimal"/>
      <w:start w:val="2"/>
    </w:lvl>
  </w:abstractNum>
  <w:abstractNum w:abstractNumId="46">
    <w:nsid w:val="5DB70AE5"/>
    <w:multiLevelType w:val="hybridMultilevel"/>
    <w:lvl w:ilvl="0">
      <w:lvlJc w:val="left"/>
      <w:lvlText w:val="%1."/>
      <w:numFmt w:val="decimal"/>
      <w:start w:val="10"/>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3"/>
    </w:lvl>
  </w:abstractNum>
  <w:abstractNum w:abstractNumId="50">
    <w:nsid w:val="5F5E7FD0"/>
    <w:multiLevelType w:val="hybridMultilevel"/>
    <w:lvl w:ilvl="0">
      <w:lvlJc w:val="left"/>
      <w:lvlText w:val="%1."/>
      <w:numFmt w:val="decimal"/>
      <w:start w:val="4"/>
    </w:lvl>
  </w:abstractNum>
  <w:abstractNum w:abstractNumId="51">
    <w:nsid w:val="98A3148"/>
    <w:multiLevelType w:val="hybridMultilevel"/>
    <w:lvl w:ilvl="0">
      <w:lvlJc w:val="left"/>
      <w:lvlText w:val="%1."/>
      <w:numFmt w:val="decimal"/>
      <w:start w:val="5"/>
    </w:lvl>
    <w:lvl w:ilvl="1">
      <w:lvlJc w:val="left"/>
      <w:lvlText w:val="%2."/>
      <w:numFmt w:val="decimal"/>
      <w:start w:val="4"/>
    </w:lvl>
  </w:abstractNum>
  <w:abstractNum w:abstractNumId="52">
    <w:nsid w:val="799D0247"/>
    <w:multiLevelType w:val="hybridMultilevel"/>
    <w:lvl w:ilvl="0">
      <w:lvlJc w:val="left"/>
      <w:lvlText w:val="%1"/>
      <w:numFmt w:val="decimal"/>
      <w:start w:val="1"/>
    </w:lvl>
    <w:lvl w:ilvl="1">
      <w:lvlJc w:val="left"/>
      <w:lvlText w:val="(%2)"/>
      <w:numFmt w:val="lowerRoman"/>
      <w:start w:val="10"/>
    </w:lvl>
  </w:abstractNum>
  <w:abstractNum w:abstractNumId="53">
    <w:nsid w:val="6B94764"/>
    <w:multiLevelType w:val="hybridMultilevel"/>
    <w:lvl w:ilvl="0">
      <w:lvlJc w:val="left"/>
      <w:lvlText w:val="%1."/>
      <w:numFmt w:val="decimal"/>
      <w:start w:val="6"/>
    </w:lvl>
    <w:lvl w:ilvl="1">
      <w:lvlJc w:val="left"/>
      <w:lvlText w:val="%2"/>
      <w:numFmt w:val="lowerRoman"/>
      <w:start w:val="1"/>
    </w:lvl>
  </w:abstractNum>
  <w:abstractNum w:abstractNumId="54">
    <w:nsid w:val="42C296BD"/>
    <w:multiLevelType w:val="hybridMultilevel"/>
    <w:lvl w:ilvl="0">
      <w:lvlJc w:val="left"/>
      <w:lvlText w:val="%1."/>
      <w:numFmt w:val="decimal"/>
      <w:start w:val="8"/>
    </w:lvl>
  </w:abstractNum>
  <w:abstractNum w:abstractNumId="55">
    <w:nsid w:val="168E121F"/>
    <w:multiLevelType w:val="hybridMultilevel"/>
    <w:lvl w:ilvl="0">
      <w:lvlJc w:val="left"/>
      <w:lvlText w:val="%1."/>
      <w:numFmt w:val="decimal"/>
      <w:start w:val="9"/>
    </w:lvl>
  </w:abstractNum>
  <w:abstractNum w:abstractNumId="56">
    <w:nsid w:val="1EBA5D23"/>
    <w:multiLevelType w:val="hybridMultilevel"/>
    <w:lvl w:ilvl="0">
      <w:lvlJc w:val="left"/>
      <w:lvlText w:val="%1."/>
      <w:numFmt w:val="decimal"/>
      <w:start w:val="10"/>
    </w:lvl>
  </w:abstractNum>
  <w:abstractNum w:abstractNumId="57">
    <w:nsid w:val="661E3F1E"/>
    <w:multiLevelType w:val="hybridMultilevel"/>
    <w:lvl w:ilvl="0">
      <w:lvlJc w:val="left"/>
      <w:lvlText w:val="%1"/>
      <w:numFmt w:val="decimal"/>
      <w:start w:val="1"/>
    </w:lvl>
    <w:lvl w:ilvl="1">
      <w:lvlJc w:val="left"/>
      <w:lvlText w:val="(%2)"/>
      <w:numFmt w:val="lowerRoman"/>
      <w:start w:val="2"/>
    </w:lvl>
  </w:abstractNum>
  <w:abstractNum w:abstractNumId="58">
    <w:nsid w:val="5DC79EA8"/>
    <w:multiLevelType w:val="hybridMultilevel"/>
    <w:lvl w:ilvl="0">
      <w:lvlJc w:val="left"/>
      <w:lvlText w:val="%1."/>
      <w:numFmt w:val="decimal"/>
      <w:start w:val="11"/>
    </w:lvl>
    <w:lvl w:ilvl="1">
      <w:lvlJc w:val="left"/>
      <w:lvlText w:val="%2"/>
      <w:numFmt w:val="lowerRoman"/>
      <w:start w:val="1"/>
    </w:lvl>
  </w:abstractNum>
  <w:abstractNum w:abstractNumId="59">
    <w:nsid w:val="540A471C"/>
    <w:multiLevelType w:val="hybridMultilevel"/>
    <w:lvl w:ilvl="0">
      <w:lvlJc w:val="left"/>
      <w:lvlText w:val="%1."/>
      <w:numFmt w:val="decimal"/>
      <w:start w:val="12"/>
    </w:lvl>
  </w:abstractNum>
  <w:abstractNum w:abstractNumId="60">
    <w:nsid w:val="7BD3EE7B"/>
    <w:multiLevelType w:val="hybridMultilevel"/>
    <w:lvl w:ilvl="0">
      <w:lvlJc w:val="left"/>
      <w:lvlText w:val="%1."/>
      <w:numFmt w:val="decimal"/>
      <w:start w:val="13"/>
    </w:lvl>
  </w:abstractNum>
  <w:abstractNum w:abstractNumId="61">
    <w:nsid w:val="51D9C564"/>
    <w:multiLevelType w:val="hybridMultilevel"/>
    <w:lvl w:ilvl="0">
      <w:lvlJc w:val="left"/>
      <w:lvlText w:val="%1."/>
      <w:numFmt w:val="decimal"/>
      <w:start w:val="14"/>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4"/>
    </w:lvl>
  </w:abstractNum>
  <w:abstractNum w:abstractNumId="65">
    <w:nsid w:val="42963E5A"/>
    <w:multiLevelType w:val="hybridMultilevel"/>
    <w:lvl w:ilvl="0">
      <w:lvlJc w:val="left"/>
      <w:lvlText w:val="(%1)"/>
      <w:numFmt w:val="lowerRoman"/>
      <w:start w:val="1"/>
    </w:lvl>
  </w:abstractNum>
  <w:abstractNum w:abstractNumId="66">
    <w:nsid w:val="A0382C5"/>
    <w:multiLevelType w:val="hybridMultilevel"/>
    <w:lvl w:ilvl="0">
      <w:lvlJc w:val="left"/>
      <w:lvlText w:val="%1."/>
      <w:numFmt w:val="decimal"/>
      <w:start w:val="5"/>
    </w:lvl>
  </w:abstractNum>
  <w:abstractNum w:abstractNumId="67">
    <w:nsid w:val="8F2B15E"/>
    <w:multiLevelType w:val="hybridMultilevel"/>
    <w:lvl w:ilvl="0">
      <w:lvlJc w:val="left"/>
      <w:lvlText w:val="%1."/>
      <w:numFmt w:val="decimal"/>
      <w:start w:val="6"/>
    </w:lvl>
  </w:abstractNum>
  <w:abstractNum w:abstractNumId="68">
    <w:nsid w:val="1A32234B"/>
    <w:multiLevelType w:val="hybridMultilevel"/>
    <w:lvl w:ilvl="0">
      <w:lvlJc w:val="left"/>
      <w:lvlText w:val="%1."/>
      <w:numFmt w:val="decimal"/>
      <w:start w:val="7"/>
    </w:lvl>
  </w:abstractNum>
  <w:abstractNum w:abstractNumId="69">
    <w:nsid w:val="3B0FD379"/>
    <w:multiLevelType w:val="hybridMultilevel"/>
    <w:lvl w:ilvl="0">
      <w:lvlJc w:val="left"/>
      <w:lvlText w:val="%1."/>
      <w:numFmt w:val="decimal"/>
      <w:start w:val="8"/>
    </w:lvl>
  </w:abstractNum>
  <w:abstractNum w:abstractNumId="70">
    <w:nsid w:val="68EB2F63"/>
    <w:multiLevelType w:val="hybridMultilevel"/>
    <w:lvl w:ilvl="0">
      <w:lvlJc w:val="left"/>
      <w:lvlText w:val="%1."/>
      <w:numFmt w:val="decimal"/>
      <w:start w:val="9"/>
    </w:lvl>
  </w:abstractNum>
  <w:abstractNum w:abstractNumId="71">
    <w:nsid w:val="4962813B"/>
    <w:multiLevelType w:val="hybridMultilevel"/>
    <w:lvl w:ilvl="0">
      <w:lvlJc w:val="left"/>
      <w:lvlText w:val="%1."/>
      <w:numFmt w:val="decimal"/>
      <w:start w:val="12"/>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1."/>
      <w:numFmt w:val="decimal"/>
      <w:start w:val="1"/>
    </w:lvl>
    <w:lvl w:ilvl="1">
      <w:lvlJc w:val="left"/>
      <w:lvlText w:val="(%2)"/>
      <w:numFmt w:val="lowerLetter"/>
      <w:start w:val="1"/>
    </w:lvl>
  </w:abstractNum>
  <w:abstractNum w:abstractNumId="74">
    <w:nsid w:val="14330624"/>
    <w:multiLevelType w:val="hybridMultilevel"/>
    <w:lvl w:ilvl="0">
      <w:lvlJc w:val="left"/>
      <w:lvlText w:val="%1"/>
      <w:numFmt w:val="decimal"/>
      <w:start w:val="1"/>
    </w:lvl>
    <w:lvl w:ilvl="1">
      <w:lvlJc w:val="left"/>
      <w:lvlText w:val="(%2)"/>
      <w:numFmt w:val="lowerLetter"/>
      <w:start w:val="10"/>
    </w:lvl>
  </w:abstractNum>
  <w:abstractNum w:abstractNumId="75">
    <w:nsid w:val="7FFFCA11"/>
    <w:multiLevelType w:val="hybridMultilevel"/>
    <w:lvl w:ilvl="0">
      <w:lvlJc w:val="left"/>
      <w:lvlText w:val="%1."/>
      <w:numFmt w:val="decimal"/>
      <w:start w:val="4"/>
    </w:lvl>
    <w:lvl w:ilvl="1">
      <w:lvlJc w:val="left"/>
      <w:lvlText w:val="(%2)"/>
      <w:numFmt w:val="lowerLetter"/>
      <w:start w:val="1"/>
    </w:lvl>
  </w:abstractNum>
  <w:abstractNum w:abstractNumId="76">
    <w:nsid w:val="1A27709E"/>
    <w:multiLevelType w:val="hybridMultilevel"/>
    <w:lvl w:ilvl="0">
      <w:lvlJc w:val="left"/>
      <w:lvlText w:val="%1."/>
      <w:numFmt w:val="decimal"/>
      <w:start w:val="9"/>
    </w:lvl>
    <w:lvl w:ilvl="1">
      <w:lvlJc w:val="left"/>
      <w:lvlText w:val="(%2)"/>
      <w:numFmt w:val="lowerLetter"/>
      <w:start w:val="1"/>
    </w:lvl>
  </w:abstractNum>
  <w:abstractNum w:abstractNumId="77">
    <w:nsid w:val="71EA1109"/>
    <w:multiLevelType w:val="hybridMultilevel"/>
    <w:lvl w:ilvl="0">
      <w:lvlJc w:val="left"/>
      <w:lvlText w:val="%1"/>
      <w:numFmt w:val="decimal"/>
      <w:start w:val="91"/>
    </w:lvl>
    <w:lvl w:ilvl="1">
      <w:lvlJc w:val="left"/>
      <w:lvlText w:val="%2"/>
      <w:numFmt w:val="lowerLetter"/>
      <w:start w:val="1"/>
    </w:lvl>
  </w:abstractNum>
  <w:abstractNum w:abstractNumId="78">
    <w:nsid w:val="100F59DC"/>
    <w:multiLevelType w:val="hybridMultilevel"/>
    <w:lvl w:ilvl="0">
      <w:lvlJc w:val="left"/>
      <w:lvlText w:val="%1."/>
      <w:numFmt w:val="decimal"/>
      <w:start w:val="12"/>
    </w:lvl>
  </w:abstractNum>
  <w:abstractNum w:abstractNumId="79">
    <w:nsid w:val="7FB7E0AA"/>
    <w:multiLevelType w:val="hybridMultilevel"/>
    <w:lvl w:ilvl="0">
      <w:lvlJc w:val="left"/>
      <w:lvlText w:val="%1."/>
      <w:numFmt w:val="decimal"/>
      <w:start w:val="12"/>
    </w:lvl>
  </w:abstractNum>
  <w:abstractNum w:abstractNumId="80">
    <w:nsid w:val="6EB5BD4"/>
    <w:multiLevelType w:val="hybridMultilevel"/>
    <w:lvl w:ilvl="0">
      <w:lvlJc w:val="left"/>
      <w:lvlText w:val="%1."/>
      <w:numFmt w:val="decimal"/>
      <w:start w:val="14"/>
    </w:lvl>
  </w:abstractNum>
  <w:abstractNum w:abstractNumId="81">
    <w:nsid w:val="6F6DD9AC"/>
    <w:multiLevelType w:val="hybridMultilevel"/>
    <w:lvl w:ilvl="0">
      <w:lvlJc w:val="left"/>
      <w:lvlText w:val="%1."/>
      <w:numFmt w:val="decimal"/>
      <w:start w:val="18"/>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lowerLetter"/>
      <w:start w:val="3"/>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2019-12-15T10:08:12Z</dcterms:created>
  <dcterms:modified xsi:type="dcterms:W3CDTF">2019-12-15T10:08:12Z</dcterms:modified>
</cp:coreProperties>
</file>