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60906.htm"/>
      <w:bookmarkStart w:id="1" w:name="ksdpz20260906"/>
      <w:bookmarkEnd w:id="0"/>
      <w:bookmarkEnd w:id="1"/>
      <w:r>
        <w:rPr/>
        <w:t> </w:t>
      </w:r>
    </w:p>
    <w:p>
      <w:pPr>
        <w:pStyle w:val="TextBody"/>
        <w:pBdr>
          <w:top w:val="single" w:sz="6" w:space="1" w:color="000000"/>
        </w:pBdr>
        <w:bidi w:val="0"/>
        <w:spacing w:before="20" w:after="283"/>
        <w:jc w:val="center"/>
        <w:rPr>
          <w:rFonts w:ascii="Times New Roman" w:hAnsi="Times New Roman"/>
          <w:color w:val="000000"/>
          <w:sz w:val="8"/>
        </w:rPr>
      </w:pPr>
      <w:r>
        <w:rPr>
          <w:rFonts w:ascii="Times New Roman" w:hAnsi="Times New Roman"/>
          <w:color w:val="000000"/>
          <w:sz w:val="8"/>
        </w:rPr>
        <w:t xml:space="preserve">l </w:t>
      </w:r>
    </w:p>
    <w:p>
      <w:pPr>
        <w:pStyle w:val="TextBody"/>
        <w:bidi w:val="0"/>
        <w:spacing w:before="80" w:after="283"/>
        <w:jc w:val="center"/>
        <w:rPr>
          <w:rFonts w:ascii="Times New Roman" w:hAnsi="Times New Roman"/>
          <w:sz w:val="32"/>
        </w:rPr>
      </w:pPr>
      <w:r>
        <w:rPr>
          <w:rFonts w:ascii="Times New Roman" w:hAnsi="Times New Roman"/>
          <w:b/>
          <w:color w:val="000000"/>
          <w:sz w:val="32"/>
        </w:rPr>
        <w:t>UNITED STATES</w:t>
      </w:r>
      <w:r>
        <w:rPr>
          <w:rFonts w:ascii="Times New Roman" w:hAnsi="Times New Roman"/>
          <w:color w:val="000000"/>
          <w:sz w:val="32"/>
        </w:rPr>
        <w:t xml:space="preserve"> </w:t>
      </w:r>
    </w:p>
    <w:p>
      <w:pPr>
        <w:pStyle w:val="TextBody"/>
        <w:bidi w:val="0"/>
        <w:jc w:val="center"/>
        <w:rPr>
          <w:rFonts w:ascii="Times New Roman" w:hAnsi="Times New Roman"/>
          <w:sz w:val="32"/>
        </w:rPr>
      </w:pPr>
      <w:r>
        <w:rPr>
          <w:rFonts w:ascii="Times New Roman" w:hAnsi="Times New Roman"/>
          <w:b/>
          <w:color w:val="000000"/>
          <w:sz w:val="32"/>
        </w:rPr>
        <w:t>SECURITIES AND EXCHANGE COMMISSION</w:t>
      </w:r>
      <w:r>
        <w:rPr>
          <w:rFonts w:ascii="Times New Roman" w:hAnsi="Times New Roman"/>
          <w:color w:val="000000"/>
          <w:sz w:val="32"/>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September 6,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001-32242</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40"/>
        </w:rPr>
      </w:pPr>
      <w:r>
        <w:rPr>
          <w:rFonts w:ascii="Times New Roman" w:hAnsi="Times New Roman"/>
          <w:b/>
          <w:color w:val="000000"/>
          <w:sz w:val="40"/>
        </w:rPr>
        <w:t>Domino’s Pizza, Inc.</w:t>
      </w:r>
      <w:r>
        <w:rPr>
          <w:rFonts w:ascii="Times New Roman" w:hAnsi="Times New Roman"/>
          <w:color w:val="000000"/>
          <w:sz w:val="4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11" w:type="dxa"/>
        <w:jc w:val="left"/>
        <w:tblInd w:w="0" w:type="dxa"/>
        <w:tblLayout w:type="fixed"/>
        <w:tblCellMar>
          <w:top w:w="28" w:type="dxa"/>
          <w:left w:w="28" w:type="dxa"/>
          <w:bottom w:w="28" w:type="dxa"/>
          <w:right w:w="28" w:type="dxa"/>
        </w:tblCellMar>
      </w:tblPr>
      <w:tblGrid>
        <w:gridCol w:w="3016"/>
        <w:gridCol w:w="109"/>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38-2511577</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 Frank Lloyd Wright Drive</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Ann Arbor, Michigan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48105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(734) 930-3030</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(Registrant’s Telephone Number, Including Area Code)</w:t>
      </w:r>
      <w:r>
        <w:rPr>
          <w:rFonts w:ascii="Times New Roman" w:hAnsi="Times New Roman"/>
          <w:color w:val="000000"/>
          <w:sz w:val="16"/>
        </w:rPr>
        <w:t xml:space="preserve">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812" w:type="dxa"/>
        <w:jc w:val="left"/>
        <w:tblInd w:w="0" w:type="dxa"/>
        <w:tblLayout w:type="fixed"/>
        <w:tblCellMar>
          <w:top w:w="28" w:type="dxa"/>
          <w:left w:w="28" w:type="dxa"/>
          <w:bottom w:w="28" w:type="dxa"/>
          <w:right w:w="28" w:type="dxa"/>
        </w:tblCellMar>
      </w:tblPr>
      <w:tblGrid>
        <w:gridCol w:w="2326"/>
        <w:gridCol w:w="146"/>
        <w:gridCol w:w="37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October 6, 2026, Domino’s Pizza, Inc. had 32,896,056 shares of common stock, par value $0.01 per share,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Domino’s Pizza,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08"/>
        <w:gridCol w:w="331"/>
        <w:gridCol w:w="7851"/>
        <w:gridCol w:w="109"/>
        <w:gridCol w:w="906"/>
      </w:tblGrid>
      <w:tr>
        <w:trPr/>
        <w:tc>
          <w:tcPr>
            <w:tcW w:w="10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 No.</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part_i_financia_information">
              <w:r>
                <w:rPr>
                  <w:rStyle w:val="InternetLink"/>
                  <w:rFonts w:ascii="Times New Roman" w:hAnsi="Times New Roman"/>
                  <w:b/>
                  <w:color w:val="0000FF"/>
                  <w:sz w:val="20"/>
                </w:rPr>
                <w:t>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part_i_financia_information">
              <w:r>
                <w:rPr>
                  <w:rStyle w:val="InternetLink"/>
                  <w:rFonts w:ascii="Times New Roman" w:hAnsi="Times New Roman"/>
                  <w:color w:val="0000FF"/>
                  <w:sz w:val="20"/>
                </w:rPr>
                <w:t>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balance_sheets">
              <w:r>
                <w:rPr>
                  <w:rStyle w:val="InternetLink"/>
                  <w:rFonts w:ascii="Times New Roman" w:hAnsi="Times New Roman"/>
                  <w:color w:val="0000FF"/>
                  <w:sz w:val="20"/>
                </w:rPr>
                <w:t>Condensed Consolidated Balance Sheets (Unaudited) – As of September 6, 2026 and December 28,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f_income">
              <w:r>
                <w:rPr>
                  <w:rStyle w:val="InternetLink"/>
                  <w:rFonts w:ascii="Times New Roman" w:hAnsi="Times New Roman"/>
                  <w:color w:val="0000FF"/>
                  <w:sz w:val="20"/>
                </w:rPr>
                <w:t>Condensed Consolidated Statements of Income (Unaudited) – Fiscal quarter and three fiscal quarters ended September 6, 2026 and September 7,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mprehensive_income">
              <w:r>
                <w:rPr>
                  <w:rStyle w:val="InternetLink"/>
                  <w:rFonts w:ascii="Times New Roman" w:hAnsi="Times New Roman"/>
                  <w:color w:val="0000FF"/>
                  <w:sz w:val="20"/>
                </w:rPr>
                <w:t>Condensed Consolidated Statements of Comprehensive Income (Unaudited) – Fiscal quarter and three fiscal quarters ended September 6, 2026 and September 7,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ash_flows">
              <w:r>
                <w:rPr>
                  <w:rStyle w:val="InternetLink"/>
                  <w:rFonts w:ascii="Times New Roman" w:hAnsi="Times New Roman"/>
                  <w:color w:val="0000FF"/>
                  <w:sz w:val="20"/>
                </w:rPr>
                <w:t>Condensed Consolidated Statements of Cash Flows (Unaudited) – Three fiscal quarters ended September 6, 2026 and September 7,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rPr>
                <w:t>Notes to Condensed Consolidated Financial Statements (Unaudited)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Times New Roman" w:hAnsi="Times New Roman"/>
                  <w:color w:val="0000FF"/>
                  <w:sz w:val="20"/>
                </w:rPr>
                <w:t>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Times New Roman" w:hAnsi="Times New Roman"/>
                  <w:color w:val="0000FF"/>
                  <w:sz w:val="20"/>
                </w:rPr>
                <w:t>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rPr>
                <w:t>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rPr>
                <w:t>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rPr>
                <w:t>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rPr>
                <w:t>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Times New Roman" w:hAnsi="Times New Roman"/>
                  <w:color w:val="0000FF"/>
                  <w:sz w:val="20"/>
                </w:rPr>
                <w:t>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rPr>
                <w:t>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8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19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9190"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b/>
                  <w:color w:val="0000FF"/>
                  <w:sz w:val="20"/>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balance_sheets"/>
      <w:bookmarkEnd w:id="3"/>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715" w:type="dxa"/>
        <w:jc w:val="left"/>
        <w:tblInd w:w="0" w:type="dxa"/>
        <w:tblLayout w:type="fixed"/>
        <w:tblCellMar>
          <w:top w:w="28" w:type="dxa"/>
          <w:left w:w="28" w:type="dxa"/>
          <w:bottom w:w="28" w:type="dxa"/>
          <w:right w:w="28" w:type="dxa"/>
        </w:tblCellMar>
      </w:tblPr>
      <w:tblGrid>
        <w:gridCol w:w="3891"/>
        <w:gridCol w:w="146"/>
        <w:gridCol w:w="255"/>
        <w:gridCol w:w="1200"/>
        <w:gridCol w:w="166"/>
        <w:gridCol w:w="146"/>
        <w:gridCol w:w="263"/>
        <w:gridCol w:w="1237"/>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assets,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and other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(3,898,622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sz w:val="20"/>
        </w:rPr>
      </w:pPr>
      <w:bookmarkStart w:id="4" w:name="statements_of_income"/>
      <w:bookmarkEnd w:id="4"/>
      <w:r>
        <w:rPr>
          <w:rFonts w:ascii="Times New Roman" w:hAnsi="Times New Roman"/>
          <w:b/>
          <w:color w:val="000000"/>
          <w:sz w:val="20"/>
        </w:rPr>
        <w:t>Condensed Consolidated Statements of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647" w:type="dxa"/>
        <w:jc w:val="left"/>
        <w:tblInd w:w="0" w:type="dxa"/>
        <w:tblLayout w:type="fixed"/>
        <w:tblCellMar>
          <w:top w:w="28" w:type="dxa"/>
          <w:left w:w="28" w:type="dxa"/>
          <w:bottom w:w="28" w:type="dxa"/>
          <w:right w:w="28" w:type="dxa"/>
        </w:tblCellMar>
      </w:tblPr>
      <w:tblGrid>
        <w:gridCol w:w="3606"/>
        <w:gridCol w:w="146"/>
        <w:gridCol w:w="211"/>
        <w:gridCol w:w="931"/>
        <w:gridCol w:w="166"/>
        <w:gridCol w:w="146"/>
        <w:gridCol w:w="211"/>
        <w:gridCol w:w="931"/>
        <w:gridCol w:w="166"/>
        <w:gridCol w:w="146"/>
        <w:gridCol w:w="211"/>
        <w:gridCol w:w="931"/>
        <w:gridCol w:w="166"/>
        <w:gridCol w:w="146"/>
        <w:gridCol w:w="211"/>
        <w:gridCol w:w="931"/>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3,404,254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1,815,993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2,040,235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rehensive_incom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184" w:type="dxa"/>
        <w:jc w:val="left"/>
        <w:tblInd w:w="0" w:type="dxa"/>
        <w:tblLayout w:type="fixed"/>
        <w:tblCellMar>
          <w:top w:w="28" w:type="dxa"/>
          <w:left w:w="28" w:type="dxa"/>
          <w:bottom w:w="28" w:type="dxa"/>
          <w:right w:w="28" w:type="dxa"/>
        </w:tblCellMar>
      </w:tblPr>
      <w:tblGrid>
        <w:gridCol w:w="2731"/>
        <w:gridCol w:w="146"/>
        <w:gridCol w:w="223"/>
        <w:gridCol w:w="827"/>
        <w:gridCol w:w="146"/>
        <w:gridCol w:w="146"/>
        <w:gridCol w:w="223"/>
        <w:gridCol w:w="827"/>
        <w:gridCol w:w="166"/>
        <w:gridCol w:w="146"/>
        <w:gridCol w:w="223"/>
        <w:gridCol w:w="827"/>
        <w:gridCol w:w="166"/>
        <w:gridCol w:w="146"/>
        <w:gridCol w:w="223"/>
        <w:gridCol w:w="827"/>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bookmarkStart w:id="6" w:name="cash_flows"/>
      <w:bookmarkEnd w:id="6"/>
      <w:r>
        <w:rPr/>
        <w:t> </w:t>
      </w:r>
    </w:p>
    <w:tbl>
      <w:tblPr>
        <w:tblW w:w="10205" w:type="dxa"/>
        <w:jc w:val="left"/>
        <w:tblInd w:w="0" w:type="dxa"/>
        <w:tblLayout w:type="fixed"/>
        <w:tblCellMar>
          <w:top w:w="28" w:type="dxa"/>
          <w:left w:w="28" w:type="dxa"/>
          <w:bottom w:w="28" w:type="dxa"/>
          <w:right w:w="28" w:type="dxa"/>
        </w:tblCellMar>
      </w:tblPr>
      <w:tblGrid>
        <w:gridCol w:w="6882"/>
        <w:gridCol w:w="146"/>
        <w:gridCol w:w="211"/>
        <w:gridCol w:w="841"/>
        <w:gridCol w:w="166"/>
        <w:gridCol w:w="146"/>
        <w:gridCol w:w="211"/>
        <w:gridCol w:w="991"/>
        <w:gridCol w:w="611"/>
      </w:tblGrid>
      <w:tr>
        <w:trPr/>
        <w:tc>
          <w:tcPr>
            <w:tcW w:w="6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Excess tax benefits from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(benefit) for losses on accounts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and realized loss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advertising fund assets and liabilities,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long-term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common stock dividends and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(558,241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included in advertising fund assets, restricted,</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restricted cash and cash equivalents and cash and</w:t>
              <w:br/>
              <w:t>   cash equivalents included in advertising fund assets, restricted,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included in advertising fund assets, restricted,</w:t>
              <w:br/>
              <w: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restricted cash and cash equivalents and cash and</w:t>
              <w:br/>
              <w:t>   cash equivalents included in advertising fund assets, restricted,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notes"/>
      <w:bookmarkEnd w:id="7"/>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 tabular amounts in thousands, except share and per-share amounts)</w:t>
      </w:r>
    </w:p>
    <w:p>
      <w:pPr>
        <w:pStyle w:val="TextBody"/>
        <w:bidi w:val="0"/>
        <w:spacing w:before="80" w:after="283"/>
        <w:jc w:val="left"/>
        <w:rPr>
          <w:rFonts w:ascii="Times New Roman" w:hAnsi="Times New Roman"/>
          <w:sz w:val="20"/>
        </w:rPr>
      </w:pPr>
      <w:r>
        <w:rPr>
          <w:rFonts w:ascii="Times New Roman" w:hAnsi="Times New Roman"/>
          <w:b/>
          <w:color w:val="000000"/>
          <w:sz w:val="20"/>
        </w:rPr>
        <w:t>September 6, 2026</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Additionally, the condensed consolidated balance sheet at December 28, 2025 has been derived from the audited consolidated financial statements at that date but does not include all of the information and footnotes required by accounting principles generally accepted in the United States for complete financial statements. Certain captions have been conformed to the current period presentation. For further information, refer to the consolidated financial statements and footnotes for the fiscal year ended December 28, 2025 included in the Company’s 2025 Annual Report on Form 10-K, filed with the Securities and Exchange Commission on February 23, 2026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and 2025 third quarters and three fiscal quarters referenced herein represent the twelve-week and thirty-six-week periods ended September 6, 2026 and September 7, 2025, respectively. In the opinion of management, all adjustments, consisting of normal recurring items, considered necessary for a fair statement have been included. Operating results for the third quarter and three fiscal quarters ended September 6, 2026 are not necessarily indicative of the results that may be expected for the 53-week fiscal year ending January 3,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three reportable segments: (i) U.S. stores; (ii) supply chain; and (iii) international franchise.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operations are organized by management on the combined basis of line of business and geography. The U.S. stores segment includes operations with respect to all franchised and Company-owned stores in the U.S. The supply chain segment primarily includes the distribution of food and, to a lesser extent, other products, from the Company’s supply chain operations in the U.S. and Canada. The international franchise segment includes operations related to the Company’s franchising business in foreign markets. The Company’s chief operating decision maker is its Chief Executive Officer. Beginning in the first quarter of 2026, the measure used by the chief operating decision maker to evaluate segment performance and allocate resources changed to Segment Adjusted Income from Operations, which represents income from operations for the reportable segments, excluding gains and losses from the sale of assets, refranchising gains and losses and certain corporate administrative costs that have not been allocated to a reportable segment. The Company’s chief operating decision maker uses Segment Adjusted Income from Operations to determine future business objectives and targets and for long-range planning for the reportable segments, as well as to evaluate their operating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summarize the financial information, including revenues, significant segment expenses, Segment Adjusted Income from Operations, capital expenditures and depreciation and amortization, concerning the Company’s reportable segments for the third quarters and three fiscal quarters ended September 6, 2026 and September 7, 2025. Intersegment revenues are comprised of sales of food and, to a lesser extent, other products, from the supply chain segment to the Company-owned stores in the U.S. stores segment. Intersegment sales prices are market based.</w:t>
      </w:r>
    </w:p>
    <w:p>
      <w:pPr>
        <w:pStyle w:val="TextBody"/>
        <w:bidi w:val="0"/>
        <w:jc w:val="left"/>
        <w:rPr/>
      </w:pPr>
      <w:r>
        <w:rPr/>
        <w:t> </w:t>
      </w:r>
    </w:p>
    <w:tbl>
      <w:tblPr>
        <w:tblW w:w="9496"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781"/>
        <w:gridCol w:w="166"/>
        <w:gridCol w:w="146"/>
        <w:gridCol w:w="253"/>
        <w:gridCol w:w="813"/>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 September 6,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764,781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83,700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1,185,598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71,740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282,015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10,191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12,863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796" w:type="dxa"/>
        <w:jc w:val="left"/>
        <w:tblInd w:w="0" w:type="dxa"/>
        <w:tblLayout w:type="fixed"/>
        <w:tblCellMar>
          <w:top w:w="28" w:type="dxa"/>
          <w:left w:w="28" w:type="dxa"/>
          <w:bottom w:w="28" w:type="dxa"/>
          <w:right w:w="28" w:type="dxa"/>
        </w:tblCellMar>
      </w:tblPr>
      <w:tblGrid>
        <w:gridCol w:w="3751"/>
        <w:gridCol w:w="146"/>
        <w:gridCol w:w="211"/>
        <w:gridCol w:w="931"/>
        <w:gridCol w:w="146"/>
        <w:gridCol w:w="146"/>
        <w:gridCol w:w="211"/>
        <w:gridCol w:w="931"/>
        <w:gridCol w:w="166"/>
        <w:gridCol w:w="146"/>
        <w:gridCol w:w="226"/>
        <w:gridCol w:w="840"/>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 September 6,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2,246,054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2,176,835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246,502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3,530,619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196,720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209,562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828,293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30,325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38,348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segment expenses and the measure of segment profit in the tables below for the third quarter and three fiscal quarters ended September 7, 2025 have been recast to reflect the change in the measure of segment profit used by the Company’s chief operating decision maker. Segment Adjusted Income from Operations represents income from operations for the reportable segments, excluding gains and losses from the sale of assets, refranchising gains and losses and certain corporate administrative costs that have not been allocated to a reportable segment.</w:t>
      </w:r>
    </w:p>
    <w:p>
      <w:pPr>
        <w:pStyle w:val="TextBody"/>
        <w:bidi w:val="0"/>
        <w:jc w:val="left"/>
        <w:rPr/>
      </w:pPr>
      <w:r>
        <w:rPr/>
        <w:t> </w:t>
      </w:r>
    </w:p>
    <w:tbl>
      <w:tblPr>
        <w:tblW w:w="9496"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781"/>
        <w:gridCol w:w="166"/>
        <w:gridCol w:w="146"/>
        <w:gridCol w:w="253"/>
        <w:gridCol w:w="813"/>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 September 7,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722,597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696,959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78,549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1,147,054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67,283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261,582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11,016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12,105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796" w:type="dxa"/>
        <w:jc w:val="left"/>
        <w:tblInd w:w="0" w:type="dxa"/>
        <w:tblLayout w:type="fixed"/>
        <w:tblCellMar>
          <w:top w:w="28" w:type="dxa"/>
          <w:left w:w="28" w:type="dxa"/>
          <w:bottom w:w="28" w:type="dxa"/>
          <w:right w:w="28" w:type="dxa"/>
        </w:tblCellMar>
      </w:tblPr>
      <w:tblGrid>
        <w:gridCol w:w="3751"/>
        <w:gridCol w:w="146"/>
        <w:gridCol w:w="211"/>
        <w:gridCol w:w="931"/>
        <w:gridCol w:w="146"/>
        <w:gridCol w:w="146"/>
        <w:gridCol w:w="211"/>
        <w:gridCol w:w="931"/>
        <w:gridCol w:w="166"/>
        <w:gridCol w:w="146"/>
        <w:gridCol w:w="226"/>
        <w:gridCol w:w="840"/>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 September 7,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1,119,037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2,053,945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231,272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3,404,254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1,533,452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196,397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779,096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36,438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
        <w:gridCol w:w="146"/>
        <w:gridCol w:w="9732"/>
      </w:tblGrid>
      <w:tr>
        <w:trPr/>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2" w:type="dxa"/>
            <w:tcBorders/>
            <w:vAlign w:val="center"/>
          </w:tcPr>
          <w:p>
            <w:pPr>
              <w:pStyle w:val="TableContents"/>
              <w:bidi w:val="0"/>
              <w:spacing w:before="0" w:after="283"/>
              <w:jc w:val="left"/>
              <w:rPr>
                <w:sz w:val="4"/>
                <w:szCs w:val="4"/>
              </w:rPr>
            </w:pPr>
            <w:r>
              <w:rPr>
                <w:sz w:val="4"/>
                <w:szCs w:val="4"/>
              </w:rPr>
            </w:r>
          </w:p>
        </w:tc>
      </w:tr>
      <w:tr>
        <w:trPr/>
        <w:tc>
          <w:tcPr>
            <w:tcW w:w="3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 – other includes delivery, occupancy costs (including rent, telephone, utilities, depreciation and amortization) and insurance expense.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
        <w:gridCol w:w="146"/>
        <w:gridCol w:w="9771"/>
      </w:tblGrid>
      <w:tr>
        <w:trPr/>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1" w:type="dxa"/>
            <w:tcBorders/>
            <w:vAlign w:val="center"/>
          </w:tcPr>
          <w:p>
            <w:pPr>
              <w:pStyle w:val="TableContents"/>
              <w:bidi w:val="0"/>
              <w:spacing w:before="0" w:after="283"/>
              <w:jc w:val="left"/>
              <w:rPr>
                <w:sz w:val="4"/>
                <w:szCs w:val="4"/>
              </w:rPr>
            </w:pPr>
            <w:r>
              <w:rPr>
                <w:sz w:val="4"/>
                <w:szCs w:val="4"/>
              </w:rPr>
            </w:r>
          </w:p>
        </w:tc>
      </w:tr>
      <w:tr>
        <w:trPr/>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 consists primarily of labor cost, depreciation and amortization, computer expenses, professional fees, travel and entertainment, rent, insurance and other. Gains and losses from the sale of assets and refranchising gains and losses are not included in the measurement of Segment Adjusted Income from Operations. Non-cash equity-based compensation expense is not allocated to the reportable segments.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
        <w:gridCol w:w="146"/>
        <w:gridCol w:w="9776"/>
      </w:tblGrid>
      <w:tr>
        <w:trPr/>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6" w:type="dxa"/>
            <w:tcBorders/>
            <w:vAlign w:val="center"/>
          </w:tcPr>
          <w:p>
            <w:pPr>
              <w:pStyle w:val="TableContents"/>
              <w:bidi w:val="0"/>
              <w:spacing w:before="0" w:after="283"/>
              <w:jc w:val="left"/>
              <w:rPr>
                <w:sz w:val="4"/>
                <w:szCs w:val="4"/>
              </w:rPr>
            </w:pPr>
            <w:r>
              <w:rPr>
                <w:sz w:val="4"/>
                <w:szCs w:val="4"/>
              </w:rPr>
            </w:r>
          </w:p>
        </w:tc>
      </w:tr>
      <w:tr>
        <w:trPr/>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also had $11.3 million and $11.0 million of other capital expenditures not attributable to the reportable segments primarily representing capitalized software in the third quarters of 2026 and 2025, respectively. The Company had $32.2 million and $29.8 million of other capital expenditures not attributable to the reportable segments primarily representing capitalized software in the three fiscal quarters of 2026 and 2025, respectively.</w:t>
            </w:r>
          </w:p>
        </w:tc>
      </w:tr>
      <w:tr>
        <w:trPr/>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depreciation and amortization reflects amounts included within cost of sales – other and general and administrative expenses. The Company also had $7.9 million and $8.3 million of depreciation and amortization expense included in general and administrative expense not allocated to the reportable segments in the third quarters of 2026 and 2025, respectively. The Company also had $23.2 million and $24.7 million of depreciation and amortization expense included in general and administrative expense not allocated to the reportable segments in the three fiscal quarters of 2026 and 2025, respectively.</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Segment Adjusted Income from Operations to income before provision for income taxes:</w:t>
      </w:r>
    </w:p>
    <w:p>
      <w:pPr>
        <w:pStyle w:val="TextBody"/>
        <w:bidi w:val="0"/>
        <w:jc w:val="left"/>
        <w:rPr/>
      </w:pPr>
      <w:r>
        <w:rPr/>
        <w:t> </w:t>
      </w:r>
    </w:p>
    <w:tbl>
      <w:tblPr>
        <w:tblW w:w="9373" w:type="dxa"/>
        <w:jc w:val="left"/>
        <w:tblInd w:w="0" w:type="dxa"/>
        <w:tblLayout w:type="fixed"/>
        <w:tblCellMar>
          <w:top w:w="28" w:type="dxa"/>
          <w:left w:w="28" w:type="dxa"/>
          <w:bottom w:w="28" w:type="dxa"/>
          <w:right w:w="28" w:type="dxa"/>
        </w:tblCellMar>
      </w:tblPr>
      <w:tblGrid>
        <w:gridCol w:w="3776"/>
        <w:gridCol w:w="146"/>
        <w:gridCol w:w="223"/>
        <w:gridCol w:w="827"/>
        <w:gridCol w:w="166"/>
        <w:gridCol w:w="146"/>
        <w:gridCol w:w="223"/>
        <w:gridCol w:w="827"/>
        <w:gridCol w:w="166"/>
        <w:gridCol w:w="146"/>
        <w:gridCol w:w="211"/>
        <w:gridCol w:w="841"/>
        <w:gridCol w:w="166"/>
        <w:gridCol w:w="146"/>
        <w:gridCol w:w="211"/>
        <w:gridCol w:w="841"/>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779,096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 unallocated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Refranchising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658,307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(135,245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
        <w:gridCol w:w="146"/>
        <w:gridCol w:w="9764"/>
      </w:tblGrid>
      <w:tr>
        <w:trPr/>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4"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corporate administrative costs that have not been allocated to a reportable segment including labor (including non-cash equity-based compensation expense), depreciation and amortization, computer expenses, professional fees, travel and entertainment, rent, insurance and other corporate administrative costs.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3. Earnings Per Share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33,035,670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33,919,706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33,288,988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34,122,385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34,146,418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33,416,210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34,366,396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denominators used in calculating diluted earnings per share for common stock for the third quarters and three fiscal quarters each ended September 6, 2026 and September 7, 2025 do not include the following because the effect of including these shares would be anti-dilutive or because the performance targets for these awards had not yet been met:</w:t>
      </w:r>
    </w:p>
    <w:p>
      <w:pPr>
        <w:pStyle w:val="TextBody"/>
        <w:bidi w:val="0"/>
        <w:jc w:val="left"/>
        <w:rPr/>
      </w:pPr>
      <w:r>
        <w:rPr/>
        <w:t> </w:t>
      </w:r>
    </w:p>
    <w:tbl>
      <w:tblPr>
        <w:tblW w:w="9709" w:type="dxa"/>
        <w:jc w:val="left"/>
        <w:tblInd w:w="0" w:type="dxa"/>
        <w:tblLayout w:type="fixed"/>
        <w:tblCellMar>
          <w:top w:w="28" w:type="dxa"/>
          <w:left w:w="28" w:type="dxa"/>
          <w:bottom w:w="28" w:type="dxa"/>
          <w:right w:w="28" w:type="dxa"/>
        </w:tblCellMar>
      </w:tblPr>
      <w:tblGrid>
        <w:gridCol w:w="4276"/>
        <w:gridCol w:w="146"/>
        <w:gridCol w:w="165"/>
        <w:gridCol w:w="885"/>
        <w:gridCol w:w="146"/>
        <w:gridCol w:w="146"/>
        <w:gridCol w:w="185"/>
        <w:gridCol w:w="865"/>
        <w:gridCol w:w="146"/>
        <w:gridCol w:w="146"/>
        <w:gridCol w:w="164"/>
        <w:gridCol w:w="886"/>
        <w:gridCol w:w="156"/>
        <w:gridCol w:w="156"/>
        <w:gridCol w:w="186"/>
        <w:gridCol w:w="864"/>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underlying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condition not met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4. Stockholders’ Deficit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changes in stockholders’ deficit for the third quarter and three fiscal quarters of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33,068,845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($1.99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32,894,733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($5.97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32,894,733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the end of the third quarter of 2026, on October 6, 2026, the Company’s Board of Directors declared a $1.99 per share quarterly dividend on its outstanding common stock for shareholders of record as of December 15, 2026 to be paid on December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21, 2026, the Company’s Board of Directors approved an addition of $1.0 billion to the $290.2 million that was previously remaining under the Company’s share repurchase program for a total authorization of $1.29 billion for future share repurchases as of that date. As of September 6, 2026, $1.15 billion remained available for future purchases of the Company’s common stock under this share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changes in stockholders’ deficit for the third quarter and three fiscal quarters of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2"/>
        <w:gridCol w:w="146"/>
        <w:gridCol w:w="146"/>
        <w:gridCol w:w="1036"/>
        <w:gridCol w:w="166"/>
        <w:gridCol w:w="146"/>
        <w:gridCol w:w="230"/>
        <w:gridCol w:w="461"/>
        <w:gridCol w:w="166"/>
        <w:gridCol w:w="146"/>
        <w:gridCol w:w="211"/>
        <w:gridCol w:w="676"/>
        <w:gridCol w:w="166"/>
        <w:gridCol w:w="146"/>
        <w:gridCol w:w="211"/>
        <w:gridCol w:w="991"/>
        <w:gridCol w:w="166"/>
        <w:gridCol w:w="146"/>
        <w:gridCol w:w="304"/>
        <w:gridCol w:w="912"/>
        <w:gridCol w:w="211"/>
      </w:tblGrid>
      <w:tr>
        <w:trPr/>
        <w:tc>
          <w:tcPr>
            <w:tcW w:w="3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15,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($1.74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33,785,145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($5.22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33,785,145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5. Fair Value Measurements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Quoted market prices in active markets for identical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Observable market-based inputs or unobservable inputs that are corroborated by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Unobservable inputs that are not corroborated by market data.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Cash Equivalents and Marketable Securities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fair values of the Company’s cash equivalents and investments in marketable securities are based on quoted prices in active markets for identical assets.</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September 6, 2026 and December 28, 2025, the fair value of the Company’s investment in DPC Dash ordinary shares is based on the active exchange quoted price for the equity security (HK$30.50 per share as of September 6, 2026 and HK$71.90 per share as of December 28, 2025). The Company owned 3,901,019 ordinary shares as of September 6, 2026 and December 28, 2025, representing 3.0% of DPC Dash’s ordinary shares as of the respective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a negative adjustment of $2.5 million in the third quarter of 2026 and a negative adjustment of $20.9 million in the three fiscal quarters of 2026 to the carrying amount of its investment in DPC Dash, with the unrealized losses recorded in other (expense) income in the Company’s condensed consolidated statements of income. The Company sold 4,200,000 ordinary shares of its investment in DPC Dash in the second quarter of 2025 for net proceeds of $44.1 million. The Company recorded a negative adjustment of $3.0 million in the third quarter of 2025 and a total net positive adjustment of $5.0 million in the three fiscal quarters of 2025 to the carrying amount of its investment in DPC Dash, with the net realized and unrealized losses and gains recorded in other (expense) income in the Company’s condensed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carrying amounts and fair values of certain assets at September 6, 2026 and December 28, 2025:</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11"/>
        <w:gridCol w:w="781"/>
        <w:gridCol w:w="146"/>
        <w:gridCol w:w="146"/>
        <w:gridCol w:w="239"/>
        <w:gridCol w:w="391"/>
        <w:gridCol w:w="146"/>
        <w:gridCol w:w="146"/>
        <w:gridCol w:w="239"/>
        <w:gridCol w:w="39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September 6,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Estimated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fund cash equivalents,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11"/>
        <w:gridCol w:w="781"/>
        <w:gridCol w:w="146"/>
        <w:gridCol w:w="146"/>
        <w:gridCol w:w="239"/>
        <w:gridCol w:w="391"/>
        <w:gridCol w:w="146"/>
        <w:gridCol w:w="146"/>
        <w:gridCol w:w="239"/>
        <w:gridCol w:w="39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Estimated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fund cash equivalents,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estimated the approximate fair values of the Company’s notes as follows:</w:t>
      </w:r>
    </w:p>
    <w:p>
      <w:pPr>
        <w:pStyle w:val="TextBody"/>
        <w:bidi w:val="0"/>
        <w:jc w:val="left"/>
        <w:rPr/>
      </w:pPr>
      <w:r>
        <w:rPr/>
        <w:t> </w:t>
      </w:r>
    </w:p>
    <w:tbl>
      <w:tblPr>
        <w:tblW w:w="8013" w:type="dxa"/>
        <w:jc w:val="left"/>
        <w:tblInd w:w="0" w:type="dxa"/>
        <w:tblLayout w:type="fixed"/>
        <w:tblCellMar>
          <w:top w:w="28" w:type="dxa"/>
          <w:left w:w="28" w:type="dxa"/>
          <w:bottom w:w="28" w:type="dxa"/>
          <w:right w:w="28" w:type="dxa"/>
        </w:tblCellMar>
      </w:tblPr>
      <w:tblGrid>
        <w:gridCol w:w="2026"/>
        <w:gridCol w:w="146"/>
        <w:gridCol w:w="296"/>
        <w:gridCol w:w="1099"/>
        <w:gridCol w:w="146"/>
        <w:gridCol w:w="146"/>
        <w:gridCol w:w="211"/>
        <w:gridCol w:w="781"/>
        <w:gridCol w:w="146"/>
        <w:gridCol w:w="146"/>
        <w:gridCol w:w="296"/>
        <w:gridCol w:w="1099"/>
        <w:gridCol w:w="146"/>
        <w:gridCol w:w="146"/>
        <w:gridCol w:w="211"/>
        <w:gridCol w:w="78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no outstanding borrowings under its variable funding notes at September 6, 2026 or December 28,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6. Leverage Ratio and Debt 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Company’s senior notes are outstanding, scheduled payments of principal and interest are required to be made on a quarterly basis. In accordance with the Company’s debt agreements, the payment of principal on the 2025 Five-Year Notes and the 2025 Seven-Year Notes (refer to Note 5, above)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the Company’s debt agreements, the payment of principal on the 2021 7.5-Year Notes, 2021 Ten-Year Notes, 2019 Ten-Year Notes, 2018 9.25-Year Notes and 2017 Ten-Year Notes (refer to Note 5, above) may be suspended if the Holdco Leverage Ratio is less than or equal to 5.0x total debt to Consolidated Adjusted EBITDA, each as defined in the indenture governing the securitized debt, and no catch-up provisions are applicable. As of the end of the third quarter of 2026, the Company satisfied the non-amortization tests for each respective series of notes, and has classified the outstanding principal amounts of the 2025 Five-Year Notes, 2025 Seven-Year Notes, 2021 7.5-Year Notes, 2021 Ten-Year Notes and 2019 Ten-Year Notes as long-term debt in the condensed consolidated balance sheets as of September 6, 2026. As of the end of the fourth quarter of 2025, the Company satisfied the non-amortization tests for each respective series of notes, and accordingly, the outstanding principal amounts of the notes have been classified as long-term debt in the condensed consolidated balance sheets as of December 28,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final maturity dates of the 2018 9.25-Year Notes and the 2017 Ten-Year Notes are July 2048 and October 2047, respectively. However, the anticipated repayment date for the 2018 9.25-Year Notes and 2017 Ten-Year Notes is July 2027, and accordingly, the outstanding principal amounts for these notes have been classified as the current portion of long-term debt in the condensed consolidated balance sheet as of September 6, 2026. The Company expects to refinance the 2018 9.25-Year Notes and 2017 Ten-Year Notes prior to the anticipated repayment date. If the Company does not repay or refinance the 2018 9.25-Year Notes and 2017 Ten-Year Notes prior to the anticipated repayment date, additional interest of at least 5% per annum will accrue, and the Company’s securitized cash flows other than a weekly management fee to cover certain operating expenses would be directed to the repayment of the securitized debt.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7. Revenue Disclosures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primarily consist of deferred franchise fees and deferred development fees. Deferred franchise fees and deferred development fees of $4.5 million and $4.8 million were included in current other accrued liabilities as of September 6, 2026 and December 28, 2025, respectively. Deferred franchise fees and deferred development fees of $13.0 million and $12.5 million were included in long-term other accrued liabilities as of September 6, 2026 and December 28,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deferred franchise fees and deferred development fees for the three fiscal quarters of 2026 and 2025 were as follows:</w:t>
      </w:r>
    </w:p>
    <w:p>
      <w:pPr>
        <w:pStyle w:val="TextBody"/>
        <w:bidi w:val="0"/>
        <w:jc w:val="left"/>
        <w:rPr/>
      </w:pPr>
      <w:r>
        <w:rPr/>
        <w:t> </w:t>
      </w:r>
    </w:p>
    <w:tbl>
      <w:tblPr>
        <w:tblW w:w="8965" w:type="dxa"/>
        <w:jc w:val="left"/>
        <w:tblInd w:w="0" w:type="dxa"/>
        <w:tblLayout w:type="fixed"/>
        <w:tblCellMar>
          <w:top w:w="28" w:type="dxa"/>
          <w:left w:w="28" w:type="dxa"/>
          <w:bottom w:w="28" w:type="dxa"/>
          <w:right w:w="28" w:type="dxa"/>
        </w:tblCellMar>
      </w:tblPr>
      <w:tblGrid>
        <w:gridCol w:w="6181"/>
        <w:gridCol w:w="146"/>
        <w:gridCol w:w="249"/>
        <w:gridCol w:w="801"/>
        <w:gridCol w:w="174"/>
        <w:gridCol w:w="153"/>
        <w:gridCol w:w="249"/>
        <w:gridCol w:w="801"/>
        <w:gridCol w:w="21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franchise fees and deferred development fees,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deferrals due to cash received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franchise fees and deferred development fees,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17,505</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Advertising Fund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6, 2026, advertising fund assets, restricted of $98.0 million consisted of $71.4 million of cash and cash equivalents, $19.0 million of accounts receivable and $7.6 million of prepaid expenses. As of September 6, 2026, advertising fund cash and cash equivalents included $1.4 million of cash contributed from U.S. Company-owned stores that had not yet been expended.</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December 28, 2025, advertising fund assets, restricted of $117.5 million consisted of $92.2 million of cash and cash equivalents, $18.4 million of accounts receivable and $6.9 million of prepaid expenses. As of December 28, 2025, advertising fund cash and cash equivalents included $2.1 million of cash contributed from U.S. Company-owned stores that had not yet been expended.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8. Leases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leases certain retail store and supply chain center locations, vehicles, equipment and its corporate headquarters with expiration dates through 2047. Rent expense totaled $22.8 million and $67.7 million in the third quarter and three fiscal quarters of 2026, respectively. Rent expense totaled $21.8 million and $65.9 million in the third quarter and three fiscal quarters of 2025,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$0.6 million and $2.4 million in the third quarter and three fiscal quarters of 2026, respectively. Rent expense for certain short-term supply chain center tractor and trailer rentals was $1.4 million and $5.0 million in the third quarter and three fiscal quarters of 2025, respectively. Variable rent expense and rent expense for other short-term leases were immaterial in both the third quarter and three fiscal quarters of 2026 and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components of operating and finance lease cost for the third quarters and three fiscal quarters of 2026 and 2025 were as follows:</w:t>
      </w:r>
    </w:p>
    <w:tbl>
      <w:tblPr>
        <w:tblW w:w="10124" w:type="dxa"/>
        <w:jc w:val="left"/>
        <w:tblInd w:w="0" w:type="dxa"/>
        <w:tblLayout w:type="fixed"/>
        <w:tblCellMar>
          <w:top w:w="28" w:type="dxa"/>
          <w:left w:w="28" w:type="dxa"/>
          <w:bottom w:w="28" w:type="dxa"/>
          <w:right w:w="28" w:type="dxa"/>
        </w:tblCellMar>
      </w:tblPr>
      <w:tblGrid>
        <w:gridCol w:w="3111"/>
        <w:gridCol w:w="346"/>
        <w:gridCol w:w="250"/>
        <w:gridCol w:w="800"/>
        <w:gridCol w:w="346"/>
        <w:gridCol w:w="346"/>
        <w:gridCol w:w="250"/>
        <w:gridCol w:w="800"/>
        <w:gridCol w:w="346"/>
        <w:gridCol w:w="346"/>
        <w:gridCol w:w="250"/>
        <w:gridCol w:w="800"/>
        <w:gridCol w:w="346"/>
        <w:gridCol w:w="346"/>
        <w:gridCol w:w="250"/>
        <w:gridCol w:w="800"/>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Supplemental balance sheet information related to the Company’s finance leases as of September 6, 2026 and December 28, 2025 was as follows:</w:t>
      </w:r>
    </w:p>
    <w:tbl>
      <w:tblPr>
        <w:tblW w:w="7715" w:type="dxa"/>
        <w:jc w:val="left"/>
        <w:tblInd w:w="0" w:type="dxa"/>
        <w:tblLayout w:type="fixed"/>
        <w:tblCellMar>
          <w:top w:w="28" w:type="dxa"/>
          <w:left w:w="28" w:type="dxa"/>
          <w:bottom w:w="28" w:type="dxa"/>
          <w:right w:w="28" w:type="dxa"/>
        </w:tblCellMar>
      </w:tblPr>
      <w:tblGrid>
        <w:gridCol w:w="3691"/>
        <w:gridCol w:w="346"/>
        <w:gridCol w:w="309"/>
        <w:gridCol w:w="1146"/>
        <w:gridCol w:w="166"/>
        <w:gridCol w:w="146"/>
        <w:gridCol w:w="334"/>
        <w:gridCol w:w="1166"/>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payable on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Supplemental cash flow information related to leases for the three fiscal quarters of 2026 and 2025 were as follows:</w:t>
      </w:r>
    </w:p>
    <w:tbl>
      <w:tblPr>
        <w:tblW w:w="9395" w:type="dxa"/>
        <w:jc w:val="left"/>
        <w:tblInd w:w="0" w:type="dxa"/>
        <w:tblLayout w:type="fixed"/>
        <w:tblCellMar>
          <w:top w:w="28" w:type="dxa"/>
          <w:left w:w="28" w:type="dxa"/>
          <w:bottom w:w="28" w:type="dxa"/>
          <w:right w:w="28" w:type="dxa"/>
        </w:tblCellMar>
      </w:tblPr>
      <w:tblGrid>
        <w:gridCol w:w="5866"/>
        <w:gridCol w:w="346"/>
        <w:gridCol w:w="250"/>
        <w:gridCol w:w="800"/>
        <w:gridCol w:w="346"/>
        <w:gridCol w:w="346"/>
        <w:gridCol w:w="250"/>
        <w:gridCol w:w="800"/>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financing obligation from sale leaseback: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sale leaseback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sale leaseback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As of September 6, 2026, the Company had additional leases for certain supply chain real estate and certain supply chain vehicles that had not yet commenced with estimated future minimum rental commitments of $90.7 million. These leases are expected to commence in 2026 and 2027 with lease terms of up to 21 years. These undiscounted amounts will be included in the Company’s condensed consolidated balance sheet at the respective commencement dates.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has guaranteed lease payments related to certain franchisees’ lease arrangements. The maximum amount of potential future payments under these guarantees was $18.4 million and $12.6 million as of September 6, 2026 and December 28, 2025, respectively. The Company does not believe these arrangements have had or are likely to have a material effect on its results of operations, financial condition, revenues, expenses or liquidity.</w:t>
      </w:r>
    </w:p>
    <w:p>
      <w:pPr>
        <w:pStyle w:val="TextBody"/>
        <w:bidi w:val="0"/>
        <w:jc w:val="left"/>
        <w:rPr>
          <w:rFonts w:ascii="Times New Roman" w:hAnsi="Times New Roman"/>
          <w:color w:val="000000"/>
          <w:sz w:val="20"/>
        </w:rPr>
      </w:pPr>
      <w:r>
        <w:rPr>
          <w:rFonts w:ascii="Times New Roman" w:hAnsi="Times New Roman"/>
          <w:color w:val="000000"/>
          <w:sz w:val="20"/>
        </w:rPr>
        <w:t>9. Supplemental Disclosures of Cash Flow Information</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had non-cash investing activities related to accruals for capital expenditures of $4.2 million at September 6, 2026 and $2.4 million at December 28, 2025. The Company had $2.8 million in non-cash financing activity related to accruals for excise taxes on share repurchases as of September 6, 2026. The Company had $3.3 million in non-cash financing activity related to accruals for excise taxes on share repurchases as of December 28, 2025, which was paid in the second quarter of 2026.</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 Asset Acquisitions and Dispositions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the Company refranchised 77 U.S. Company-owned stores in Virginia and Michigan for proceeds of $19.8 million. The pre-tax refranchising gain associated with the sale of the related assets and liabilities, including a $2.8 million reduction in goodwill, was $3.9 million and recorded in refranchising gain in the Company’s condensed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the Company sold its fully depreciated corporate aircraft for net proceeds and a pre-tax realized gain of $7.8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2025, the Company refranchised 36 U.S. Company-owned stores in Maryland for proceeds of $8.5 million. The pre-tax refranchising gain associated with the sale of the related assets and liabilities, including a $1.4 million reduction in goodwill, was $3.9 million and was recorded in refranchising gain in the Company’s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2025, the Company purchased two U.S. franchised stores from one of the Company’s former U.S. franchisees for $0.9 million. The Company recorded $0.3 million of intangibles, $0.1 million of equipment and leasehold improvements and $0.5 million of goodwill.</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11. New Accounting Pronouncements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considered all new accounting standards issued by the Financial Accounting Standards Board (“FASB”) and adopted the following accounting standard:</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Recently Adopted Accounting Standards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Standards Update (“ASU”) 2026-02, Environmental Credits and Environmental Credit Obligations (Topic 818)</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May 2026, the FASB issued </w:t>
      </w:r>
      <w:r>
        <w:rPr>
          <w:rFonts w:ascii="Times New Roman" w:hAnsi="Times New Roman"/>
          <w:i/>
          <w:color w:val="000000"/>
          <w:sz w:val="20"/>
        </w:rPr>
        <w:t>ASU 2026-02, Environmental Credits and Environmental Credit Obligations (Topic 818) (“ASU 2026-02”)</w:t>
      </w:r>
      <w:r>
        <w:rPr>
          <w:rFonts w:ascii="Times New Roman" w:hAnsi="Times New Roman"/>
          <w:color w:val="000000"/>
          <w:sz w:val="20"/>
        </w:rPr>
        <w:t>, which establishes guidance on the recognition, measurement, presentation and disclosure of environmental credits and related obligations. ASU 2026-02 provides a framework for accounting for environmental credit assets, including those generated, purchased or received, and environmental credit obligations. It also requires entities to assess the intended use of environmental credits, and, in certain cases, evaluate such credits for impairment. In addition, ASU 2026-02 introduces enhanced annual disclosure requirements related to environmental credits and associated obligations.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early adopted ASU 2026-02 in the third quarter of 2026 in connection with the commencement of a new virtual power purchase agreement, and adoption did not have a material impact on the Company’s condensed consolidated financial statements.</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Accounting Standards Not Yet Adopted</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considered all new accounting standards issued by the FASB. The Company has not yet adopted the following accounting standards:</w:t>
      </w:r>
    </w:p>
    <w:p>
      <w:pPr>
        <w:pStyle w:val="TextBody"/>
        <w:bidi w:val="0"/>
        <w:jc w:val="left"/>
        <w:rPr>
          <w:rFonts w:ascii="Times New Roman" w:hAnsi="Times New Roman"/>
          <w:i/>
          <w:color w:val="000000"/>
          <w:sz w:val="20"/>
        </w:rPr>
      </w:pPr>
      <w:r>
        <w:rPr>
          <w:rFonts w:ascii="Times New Roman" w:hAnsi="Times New Roman"/>
          <w:i/>
          <w:color w:val="000000"/>
          <w:sz w:val="20"/>
        </w:rPr>
        <w:t>ASU 2024-03, Income Statement – Reporting Comprehensive Income – Expense Disaggregation Disclosures (Subtopic 220-40)</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 – Reporting Comprehensive Income – Expense Disaggregation Disclosures (Subtopic 220-40) (“ASU 2024-03”)</w:t>
      </w:r>
      <w:r>
        <w:rPr>
          <w:rFonts w:ascii="Times New Roman" w:hAnsi="Times New Roman"/>
          <w:color w:val="000000"/>
          <w:sz w:val="20"/>
        </w:rPr>
        <w:t>, which requires disclosure in the notes to the consolidated financial statements on an annual and interim basis, of 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ASU 2024-03 is effective for annual reporting fiscal years beginning after December 15, 2026 and interim periods within fiscal years beginning after December 15, 2027, and early adoption is permitted. The standard may be adopted either prospectively or retrospectively. The Company is currently evaluating the impact of this accounting standard on its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ASU 2025-06, Intangibles—Goodwill and Other—Internal-Use Software (Subtopic 350-40): Targeted Improvements to the Accounting for Internal-Use Software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 Intangibles—Goodwill and Other—Internal-Use Software (Subtopic 350-40): Targeted Improvements to the Accounting for Internal-Use Software (“ASU 2025-06”)</w:t>
      </w:r>
      <w:r>
        <w:rPr>
          <w:rFonts w:ascii="Times New Roman" w:hAnsi="Times New Roman"/>
          <w:color w:val="000000"/>
          <w:sz w:val="20"/>
        </w:rPr>
        <w:t>,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ASU 2025-06 guidance is effective for annual periods beginning after December 15, 2027, and early adoption is permitted. The guidance can be applied on a prospective basis, a modified basis for in-process projects or on a retrospective basis. The Company is currently evaluating the impact of this accounting standard on its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2_management"/>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(Unaudited; tabular amounts in millions, except percentages and store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and 2025 third quarters referenced herein represent the twelve-week periods ended September 6, 2026 and September 7, 2025, respectively. The 2026 and 2025 three fiscal quarters referenced herein represent the thirty-six-week periods ended September 6, 2026 and September 7, 2025, respectively. In this section, we discuss the results of our operations for the third quarter and three fiscal quarters of 2026 compared to the third quarter and three fiscal quarters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is the largest pizza company in the world with more than 22,700 locations in over 90 markets around the world as of September 6, 2026,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For more than 65 years, we have built Domino’s into one of the most widely-recognized consumer brands in the world. We believe our commitment to value, convenience, quality and new products continues to keep consumers engaged with the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primarily a franchisor, with approximately 99% of Domino’s global stores owned and operated by our independent franchisees as of September 6, 2026.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20"/>
        </w:rPr>
        <w:t>Domino’s generates revenues and earnings by charging royalties and fees to our franchisees. Royalties are ongoing percent-of-sales fees for use of the Domino’s</w:t>
      </w:r>
      <w:r>
        <w:rPr>
          <w:rFonts w:ascii="Times New Roman" w:hAnsi="Times New Roman"/>
          <w:color w:val="000000"/>
          <w:sz w:val="13"/>
        </w:rPr>
        <w:t xml:space="preserve">® </w:t>
      </w:r>
      <w:r>
        <w:rPr>
          <w:rFonts w:ascii="Times New Roman" w:hAnsi="Times New Roman"/>
          <w:color w:val="000000"/>
          <w:sz w:val="20"/>
        </w:rPr>
        <w:t>brand marks. We also generate revenues and earnings by selling food and, to a lesser extent,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hAnsi="Times New Roman"/>
          <w:color w:val="000000"/>
          <w:sz w:val="13"/>
        </w:rPr>
        <w:t xml:space="preserve">® </w:t>
      </w:r>
      <w:r>
        <w:rPr>
          <w:rFonts w:ascii="Times New Roman" w:hAnsi="Times New Roman"/>
          <w:color w:val="000000"/>
          <w:sz w:val="20"/>
        </w:rPr>
        <w:t>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can yield strong returns for our franchise owners and our Company-owned stores.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Most Delicious Food:</w:t>
      </w:r>
      <w:r>
        <w:rPr>
          <w:rFonts w:ascii="Times New Roman" w:hAnsi="Times New Roman"/>
          <w:color w:val="000000"/>
          <w:sz w:val="20"/>
        </w:rPr>
        <w:t xml:space="preserve"> We believe we have the best pizza in the industry, and our menu has even more mouthwatering options beyond pizza. We will continue to showcase the breadth of our menu, while highlighting the deliciousness of our food through our innovative marketing promotions.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Operational Excellence:</w:t>
      </w:r>
      <w:r>
        <w:rPr>
          <w:rFonts w:ascii="Times New Roman" w:hAnsi="Times New Roman"/>
          <w:color w:val="000000"/>
          <w:sz w:val="20"/>
        </w:rPr>
        <w:t xml:space="preserve"> We are relentless in our focus on convenience, consistency and efficiency for our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Renowned Value:</w:t>
      </w:r>
      <w:r>
        <w:rPr>
          <w:rFonts w:ascii="Times New Roman" w:hAnsi="Times New Roman"/>
          <w:color w:val="000000"/>
          <w:sz w:val="20"/>
        </w:rPr>
        <w:t xml:space="preserve"> We are committed to continuing to offer competitive pricing and personalized value for our customers that is innovative and memorable.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Enhanced by Best-in-Class Franchisees:</w:t>
      </w:r>
      <w:r>
        <w:rPr>
          <w:rFonts w:ascii="Times New Roman" w:hAnsi="Times New Roman"/>
          <w:color w:val="000000"/>
          <w:sz w:val="20"/>
        </w:rPr>
        <w:t xml:space="preserve"> Our franchisees play a vital role in driving results and excitement across the more than 90 markets in which we operate.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Third Quarter of 2026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above, our Hungry for MORE strategy aims to generate MORE sales, MORE stores and MORE profits.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Sales: Global retail sales, excluding foreign currency impact (which includes total retail sales at Company-owned and franchised stores worldwide), increased 3.2% compared to the third quarter of 2025. U.S. retail sales increased 2.1% and international retail sales, excluding foreign currency impact, increased 4.3% compared to the third quarter of 2025. Same store sales increased 0.3% in our U.S. stores and increased 0.2% in our international stores (excluding foreign currency impact).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Stores: Global net store growth of 175 stores, including 26 net store openings in the U.S. and 149 net store openings internationally.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MORE Profits: Income from operations increased 8.3%.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Fiscal Quarters of 2026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Sales: Global retail sales, excluding foreign currency impact (which includes total retail sales at Company-owned and franchised stores worldwide), increased 3.2% compared to the three fiscal quarters of 2025. U.S. retail sales increased 2.3% and international retail sales, excluding foreign currency impact, increased 4.1% compared to the three fiscal quarters of 2025. Same store sales increased 0.4% in our U.S. stores and declined 0.1% in our international stores (excluding foreign currency impact).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Stores: Global net store growth of 564 stores, including 71 net store openings in the U.S. and 493 net store openings internationally.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MORE Profits: Income from operations increased 7.0%.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Excluding the impact of changes in foreign currency, Domino’s experienced global retail sales growth during the third quarter and three fiscal quarters of 2026, driven by net store growth during the trailing four quarters in both our U.S. and international businesses.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Statistical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outline certain statistical measures we utilize to analyze our performance. This historical data is not necessarily indicative of results to be expected for any future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Global Retail Sales</w:t>
      </w:r>
    </w:p>
    <w:p>
      <w:pPr>
        <w:pStyle w:val="TextBody"/>
        <w:bidi w:val="0"/>
        <w:jc w:val="left"/>
        <w:rPr>
          <w:rFonts w:ascii="Times New Roman" w:hAnsi="Times New Roman"/>
          <w:color w:val="000000"/>
          <w:sz w:val="20"/>
        </w:rPr>
      </w:pPr>
      <w:r>
        <w:rPr>
          <w:rFonts w:ascii="Times New Roman" w:hAnsi="Times New Roman"/>
          <w:color w:val="000000"/>
          <w:sz w:val="20"/>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it is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pStyle w:val="TextBody"/>
        <w:bidi w:val="0"/>
        <w:jc w:val="left"/>
        <w:rPr/>
      </w:pPr>
      <w:r>
        <w:rPr/>
        <w:t> </w:t>
      </w:r>
    </w:p>
    <w:tbl>
      <w:tblPr>
        <w:tblW w:w="8994" w:type="dxa"/>
        <w:jc w:val="left"/>
        <w:tblInd w:w="0" w:type="dxa"/>
        <w:tblLayout w:type="fixed"/>
        <w:tblCellMar>
          <w:top w:w="28" w:type="dxa"/>
          <w:left w:w="28" w:type="dxa"/>
          <w:bottom w:w="28" w:type="dxa"/>
          <w:right w:w="28" w:type="dxa"/>
        </w:tblCellMar>
      </w:tblPr>
      <w:tblGrid>
        <w:gridCol w:w="1881"/>
        <w:gridCol w:w="146"/>
        <w:gridCol w:w="261"/>
        <w:gridCol w:w="894"/>
        <w:gridCol w:w="146"/>
        <w:gridCol w:w="146"/>
        <w:gridCol w:w="261"/>
        <w:gridCol w:w="894"/>
        <w:gridCol w:w="146"/>
        <w:gridCol w:w="146"/>
        <w:gridCol w:w="345"/>
        <w:gridCol w:w="1350"/>
        <w:gridCol w:w="146"/>
        <w:gridCol w:w="146"/>
        <w:gridCol w:w="345"/>
        <w:gridCol w:w="1350"/>
        <w:gridCol w:w="391"/>
      </w:tblGrid>
      <w:tr>
        <w:trPr/>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retail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Global Retail Sales Growth, Excluding Foreign Currency Impact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local currency global retail sales against the comparable period of the prior year. Changes in global retail sales growth, excluding foreign currency impact are primarily driven by same store sales growth and net store growth.</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6"/>
        <w:gridCol w:w="146"/>
        <w:gridCol w:w="1099"/>
        <w:gridCol w:w="146"/>
        <w:gridCol w:w="1099"/>
        <w:gridCol w:w="146"/>
        <w:gridCol w:w="1579"/>
        <w:gridCol w:w="146"/>
        <w:gridCol w:w="1628"/>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+ 4.5%</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+ 6.6%</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+ 5.5%</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Same Store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6"/>
        <w:gridCol w:w="146"/>
        <w:gridCol w:w="1096"/>
        <w:gridCol w:w="146"/>
        <w:gridCol w:w="1096"/>
        <w:gridCol w:w="146"/>
        <w:gridCol w:w="1573"/>
        <w:gridCol w:w="146"/>
        <w:gridCol w:w="1620"/>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+ 2.7%</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+ 2.7%</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same store sales increased 0.3% in the third quarter of 2026, rolling over an increase in U.S. same store sales of 5.2% in the third quarter of 2025. U.S. same store sales increased 0.4% in the three fiscal quarters of 2026, rolling over an increase in U.S. same store sales of 2.7% in the three fiscal quarters of 2025. The increases in U.S. same store sales in both the third quarter and three fiscal quarters of 2026 were driven by higher customer transaction counts, partially offset by lower average ticket. International same store sales (excluding foreign currency impact) increased 0.2% in the third quarter of 2026, rolling over an increase in international same store sales (excluding foreign currency impact) of 1.7% in the third quarter of 2025. International same store sales (excluding foreign currency impact) declined 0.1% in the three fiscal quarters of 2026, rolling over an increase in international same store sales (excluding foreign currency impact) of 2.5% in the three fiscal quarters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Net Store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pStyle w:val="TextBody"/>
        <w:bidi w:val="0"/>
        <w:jc w:val="left"/>
        <w:rPr/>
      </w:pPr>
      <w:r>
        <w:rPr/>
        <w:t> </w:t>
      </w:r>
    </w:p>
    <w:tbl>
      <w:tblPr>
        <w:tblW w:w="9562" w:type="dxa"/>
        <w:jc w:val="left"/>
        <w:tblInd w:w="0" w:type="dxa"/>
        <w:tblLayout w:type="fixed"/>
        <w:tblCellMar>
          <w:top w:w="28" w:type="dxa"/>
          <w:left w:w="28" w:type="dxa"/>
          <w:bottom w:w="28" w:type="dxa"/>
          <w:right w:w="28" w:type="dxa"/>
        </w:tblCellMar>
      </w:tblPr>
      <w:tblGrid>
        <w:gridCol w:w="3196"/>
        <w:gridCol w:w="146"/>
        <w:gridCol w:w="224"/>
        <w:gridCol w:w="647"/>
        <w:gridCol w:w="146"/>
        <w:gridCol w:w="146"/>
        <w:gridCol w:w="165"/>
        <w:gridCol w:w="646"/>
        <w:gridCol w:w="166"/>
        <w:gridCol w:w="146"/>
        <w:gridCol w:w="146"/>
        <w:gridCol w:w="571"/>
        <w:gridCol w:w="166"/>
        <w:gridCol w:w="146"/>
        <w:gridCol w:w="276"/>
        <w:gridCol w:w="1284"/>
        <w:gridCol w:w="166"/>
        <w:gridCol w:w="146"/>
        <w:gridCol w:w="146"/>
        <w:gridCol w:w="67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Company-</w:t>
              <w:br/>
              <w:t>owned</w:t>
              <w:br/>
              <w:t>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Franchise</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June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September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 2026 net store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Trailing four quarters net store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Income Statement Data</w:t>
      </w:r>
    </w:p>
    <w:p>
      <w:pPr>
        <w:pStyle w:val="TextBody"/>
        <w:bidi w:val="0"/>
        <w:jc w:val="left"/>
        <w:rPr/>
      </w:pPr>
      <w:r>
        <w:rPr/>
        <w:t> </w:t>
      </w:r>
    </w:p>
    <w:tbl>
      <w:tblPr>
        <w:tblW w:w="10263" w:type="dxa"/>
        <w:jc w:val="left"/>
        <w:tblInd w:w="0" w:type="dxa"/>
        <w:tblLayout w:type="fixed"/>
        <w:tblCellMar>
          <w:top w:w="28" w:type="dxa"/>
          <w:left w:w="28" w:type="dxa"/>
          <w:bottom w:w="28" w:type="dxa"/>
          <w:right w:w="28" w:type="dxa"/>
        </w:tblCellMar>
      </w:tblPr>
      <w:tblGrid>
        <w:gridCol w:w="1421"/>
        <w:gridCol w:w="146"/>
        <w:gridCol w:w="196"/>
        <w:gridCol w:w="646"/>
        <w:gridCol w:w="166"/>
        <w:gridCol w:w="146"/>
        <w:gridCol w:w="146"/>
        <w:gridCol w:w="511"/>
        <w:gridCol w:w="241"/>
        <w:gridCol w:w="146"/>
        <w:gridCol w:w="196"/>
        <w:gridCol w:w="646"/>
        <w:gridCol w:w="166"/>
        <w:gridCol w:w="146"/>
        <w:gridCol w:w="146"/>
        <w:gridCol w:w="511"/>
        <w:gridCol w:w="241"/>
        <w:gridCol w:w="146"/>
        <w:gridCol w:w="196"/>
        <w:gridCol w:w="646"/>
        <w:gridCol w:w="166"/>
        <w:gridCol w:w="146"/>
        <w:gridCol w:w="146"/>
        <w:gridCol w:w="511"/>
        <w:gridCol w:w="241"/>
        <w:gridCol w:w="146"/>
        <w:gridCol w:w="196"/>
        <w:gridCol w:w="646"/>
        <w:gridCol w:w="166"/>
        <w:gridCol w:w="146"/>
        <w:gridCol w:w="146"/>
        <w:gridCol w:w="511"/>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Refranchising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left"/>
        <w:rPr/>
      </w:pPr>
      <w:r>
        <w:rPr/>
        <w:t> </w:t>
      </w:r>
    </w:p>
    <w:tbl>
      <w:tblPr>
        <w:tblW w:w="11193" w:type="dxa"/>
        <w:jc w:val="left"/>
        <w:tblInd w:w="0" w:type="dxa"/>
        <w:tblLayout w:type="fixed"/>
        <w:tblCellMar>
          <w:top w:w="28" w:type="dxa"/>
          <w:left w:w="28" w:type="dxa"/>
          <w:bottom w:w="28" w:type="dxa"/>
          <w:right w:w="28" w:type="dxa"/>
        </w:tblCellMar>
      </w:tblPr>
      <w:tblGrid>
        <w:gridCol w:w="1516"/>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Consolidated revenues increased $38.5 million, or 3.4%, in the third quarter of 2026 compared to the third quarter of 2025, and consolidated revenues increased $126.4 million, or 3.7%, in the three fiscal quarters of 2026 compared to the three fiscal quarters of 2025, primarily due to higher supply chain revenues and higher global franchise royalty revenues. The increases in supply chain revenues were primarily attributable to higher order volumes, as well as an increase in our food basket pricing to stores. The increases in U.S. and international franchise royalties and fees revenues were driven primarily by net store growth during the trailing four quarters. These increases in revenues were partially offset by lower U.S. Company-owned store revenues as a result of the refranchising of certain of our U.S. Company-owned store markets. These changes in revenues are described in more detail below.</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i/>
          <w:color w:val="000000"/>
          <w:sz w:val="20"/>
          <w:u w:val="single"/>
        </w:rPr>
      </w:pPr>
      <w:r>
        <w:rPr>
          <w:rFonts w:ascii="Times New Roman" w:hAnsi="Times New Roman"/>
          <w:b/>
          <w:i/>
          <w:color w:val="000000"/>
          <w:sz w:val="20"/>
          <w:u w:val="single"/>
        </w:rPr>
        <w:t>U.S. Stores</w:t>
      </w:r>
    </w:p>
    <w:tbl>
      <w:tblPr>
        <w:tblW w:w="10893" w:type="dxa"/>
        <w:jc w:val="left"/>
        <w:tblInd w:w="0" w:type="dxa"/>
        <w:tblLayout w:type="fixed"/>
        <w:tblCellMar>
          <w:top w:w="28" w:type="dxa"/>
          <w:left w:w="28" w:type="dxa"/>
          <w:bottom w:w="28" w:type="dxa"/>
          <w:right w:w="28" w:type="dxa"/>
        </w:tblCellMar>
      </w:tblPr>
      <w:tblGrid>
        <w:gridCol w:w="1516"/>
        <w:gridCol w:w="146"/>
        <w:gridCol w:w="211"/>
        <w:gridCol w:w="571"/>
        <w:gridCol w:w="146"/>
        <w:gridCol w:w="146"/>
        <w:gridCol w:w="146"/>
        <w:gridCol w:w="571"/>
        <w:gridCol w:w="271"/>
        <w:gridCol w:w="146"/>
        <w:gridCol w:w="211"/>
        <w:gridCol w:w="57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U.S. stores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Company-owned Stores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Company-owned store operations decreased $21.3 million, or 25.8%, in the third quarter of 2026 as a result of the refranchising of certain of our U.S. Company-owned store markets in the second quarter of 2026. Revenues from U.S. Company-owned store operations decreased $41.4 million, or 15.5%, in the three fiscal quarters of 2026 as a result of the refranchising of certain of our U.S. Company-owned store markets in the second quarters of 2026 and 2025. These decreases were partially offset by higher same store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Company-owned same store sales increased 1.0% in the third quarter of 2026 and increased 3.4% in the third quarter of 2025. U.S. Company-owned same store sales increased 2.5% in the three fiscal quarters of 2026 and increased 1.0% in the three fiscal quarters of 2025.</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Franchise Royalties and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franchise royalties and fees increased $8.5 million, or 5.4%, in the third quarter of 2026, and increased $23.4 million, or 5.0%, in the three fiscal quarters of 2026, each due to an increase in the average number of U.S. franchised stores open during the period primarily resulting from net store growth during the trailing four quarters.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 franchise same store sales increased 0.3% in the third quarter of 2026 and increased 5.3% in the third quarter of 2025. U.S. franchise same store sales increased 0.4% in the three fiscal quarters of 2026 and increased 2.7% in the three fiscal quarters of 2025.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Franchise Advertising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from U.S. franchise advertising decreased $3.0 million, or 2.3%, in the third quarter of 2026 primarily due to an increase in advertising incentives related to certain brand promotions, partially offset by an increase in the average number of U.S. franchised stores open during the period primarily resulting from net store growth during the trailing four quarters. Revenues from U.S. franchise advertising increased $6.3 million, or 1.6%, in the three fiscal quarters of 2026 due to an increase in the average number of U.S. franchised stores open during the period primarily resulting from net store growth during the trailing four quarters, but this increase was partially offset by an increase in advertising incentives related to certain brand promotions.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Supply Chain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Supply chain revenues increased $49.2 million, or 7.1%, in the third quarter of 2026, and increased $122.9 million, or 6.0%, in the three fiscal quarters of 2026, primarily due to higher order volumes, as well as an increase in our food basket pricing to stores. Our food basket pricing to stores increased 2.2% in the third quarter of 2026 and increased 2.3% in the three fiscal quarters of 2026, which resulted in an estimated $17 million increase in supply chain revenues in the third quarter of 2026 and an estimated $51 million increase in the three fiscal quarters of 2026.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International Franchise Royalties and Fee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from international franchise royalties and fees increased $5.2 million, or 6.6%, in the third quarter of 2026, and increased $15.2 million, or 6.6%, in the three fiscal quarters of 2026, primarily due to an increase in the average number of international franchised stores open during the period resulting from net store growth during the trailing four quarters. The negative impact of changes in foreign currency exchange rates of approximately $0.2 million in the third quarter of 2026 partially offset the increase in international franchise royalties and fees revenues, while the positive impact of changes in foreign currency exchange rates of approximately $4.5 million in the three fiscal quarters of 2026 further contributed to the increase in international franchise royalties and fees revenues.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compared to prior year exchange rates. We believe this measure is important to understanding Company performance given the significant variability in international franchise royalty revenues that can be driven by changes in foreign currency exchange rates.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International franchise same store sales increased 0.2% in the third quarter of 2026 and increased 1.7% in the third quarter of 2025, each excluding the impact of foreign currency exchange rates. International franchise same store sales declined 0.1% in the three fiscal quarters of 2026 and increased 2.5% in the three fiscal quarters of 2025, each excluding the impact of foreign currency exchange rates.</w:t>
      </w:r>
    </w:p>
    <w:p>
      <w:pPr>
        <w:pStyle w:val="TextBody"/>
        <w:bidi w:val="0"/>
        <w:jc w:val="left"/>
        <w:rPr>
          <w:rFonts w:ascii="Times New Roman" w:hAnsi="Times New Roman"/>
          <w:b/>
          <w:i/>
          <w:color w:val="000000"/>
          <w:sz w:val="20"/>
        </w:rPr>
      </w:pPr>
      <w:r>
        <w:rPr>
          <w:rFonts w:ascii="Times New Roman" w:hAnsi="Times New Roman"/>
          <w:b/>
          <w:i/>
          <w:color w:val="000000"/>
          <w:sz w:val="20"/>
        </w:rPr>
        <w:t>Cost of Sales / Gross Margin</w:t>
      </w:r>
    </w:p>
    <w:p>
      <w:pPr>
        <w:pStyle w:val="TextBody"/>
        <w:bidi w:val="0"/>
        <w:jc w:val="left"/>
        <w:rPr/>
      </w:pPr>
      <w:r>
        <w:rPr/>
        <w:t> </w:t>
      </w:r>
    </w:p>
    <w:p>
      <w:pPr>
        <w:pStyle w:val="TextBody"/>
        <w:bidi w:val="0"/>
        <w:jc w:val="left"/>
        <w:rPr/>
      </w:pPr>
      <w:r>
        <w:rPr/>
        <w:t> </w:t>
      </w:r>
    </w:p>
    <w:tbl>
      <w:tblPr>
        <w:tblW w:w="10568" w:type="dxa"/>
        <w:jc w:val="left"/>
        <w:tblInd w:w="0" w:type="dxa"/>
        <w:tblLayout w:type="fixed"/>
        <w:tblCellMar>
          <w:top w:w="28" w:type="dxa"/>
          <w:left w:w="28" w:type="dxa"/>
          <w:bottom w:w="28" w:type="dxa"/>
          <w:right w:w="28" w:type="dxa"/>
        </w:tblCellMar>
      </w:tblPr>
      <w:tblGrid>
        <w:gridCol w:w="891"/>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$16.5 million, or 3.6%, in the third quarter of 2026, and increased $55.1 million, or 4.0%, in the three fiscal quarters of 2026, each primarily due to higher global franchise royalty revenues as discussed above, as well as gross margin dollar growth within supply chain, discussed below. These increases were partially offset by lower U.S. Company-owned store gross margins,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revenues, consolidated gross margin increased 0.1 percentage points to 40.2% in both the third quarter and three fiscal quarters of 2026, from 40.1% in both the third quarter and three fiscal quarters of 2025. U.S. Company-owned store gross margin decreased 4.3 and 4.1 percentage points in the third quarter and three fiscal quarters of 2026, respectively. Supply chain gross margin increased 0.9 and 0.5 percentage points in the third quarter and three fiscal quarters of 2026, respectively. Changes in the significant components of gross margin are described in more detail below.</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U.S. Company-Owned Store Gross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8"/>
        <w:gridCol w:w="146"/>
        <w:gridCol w:w="211"/>
        <w:gridCol w:w="466"/>
        <w:gridCol w:w="146"/>
        <w:gridCol w:w="146"/>
        <w:gridCol w:w="146"/>
        <w:gridCol w:w="571"/>
        <w:gridCol w:w="271"/>
        <w:gridCol w:w="146"/>
        <w:gridCol w:w="211"/>
        <w:gridCol w:w="466"/>
        <w:gridCol w:w="146"/>
        <w:gridCol w:w="146"/>
        <w:gridCol w:w="146"/>
        <w:gridCol w:w="571"/>
        <w:gridCol w:w="271"/>
        <w:gridCol w:w="146"/>
        <w:gridCol w:w="211"/>
        <w:gridCol w:w="571"/>
        <w:gridCol w:w="146"/>
        <w:gridCol w:w="146"/>
        <w:gridCol w:w="146"/>
        <w:gridCol w:w="571"/>
        <w:gridCol w:w="271"/>
        <w:gridCol w:w="146"/>
        <w:gridCol w:w="211"/>
        <w:gridCol w:w="571"/>
        <w:gridCol w:w="146"/>
        <w:gridCol w:w="146"/>
        <w:gridCol w:w="146"/>
        <w:gridCol w:w="571"/>
        <w:gridCol w:w="516"/>
      </w:tblGrid>
      <w:tr>
        <w:trPr/>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Company-owned store gross margin (which does not include certain store-level costs such as royalties and advertising) decreased $6.2 million, or 45.6%, in the third quarter of 2026 and decreased $15.9 million, or 37.3%, in the three fiscal quarters of 2026. As a percentage of store revenues, U.S. Company-owned store gross margin decreased 4.3 percentage points in the third quarter of 2026 and decreased 4.1 percentage points in the three fiscal quarters of 2026. These changes in gross margin as a percentage of revenues are discussed in additional detail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Food costs increased 0.6 percentage points to 30.3% in the third quarter of 2026 and increased 0.7 percentage points to 30.3% in the three fiscal quarters of 2026, each driven by the increase in the food basket pricing to stores.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 costs increased 0.6 percentage points to 31.5% in the third quarter of 2026 and increased 1.0 percentage point to 31.9% in the three fiscal quarters of 2026, each driven by higher wage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insurance costs contributed to the remaining decreases in U.S. Company-owned store gross margin as a percentage of revenues in the respective periods.</w:t>
      </w:r>
    </w:p>
    <w:p>
      <w:pPr>
        <w:pStyle w:val="TextBody"/>
        <w:bidi w:val="0"/>
        <w:spacing w:before="200" w:after="200"/>
        <w:jc w:val="left"/>
        <w:rPr>
          <w:rFonts w:ascii="Times New Roman" w:hAnsi="Times New Roman"/>
          <w:b/>
          <w:i/>
          <w:color w:val="000000"/>
          <w:sz w:val="20"/>
          <w:u w:val="single"/>
        </w:rPr>
      </w:pPr>
      <w:r>
        <w:rPr>
          <w:rFonts w:ascii="Times New Roman" w:hAnsi="Times New Roman"/>
          <w:b/>
          <w:i/>
          <w:color w:val="000000"/>
          <w:sz w:val="20"/>
          <w:u w:val="single"/>
        </w:rPr>
        <w:t>Supply Chain Gross Margin</w:t>
      </w:r>
    </w:p>
    <w:tbl>
      <w:tblPr>
        <w:tblW w:w="10293" w:type="dxa"/>
        <w:jc w:val="left"/>
        <w:tblInd w:w="0" w:type="dxa"/>
        <w:tblLayout w:type="fixed"/>
        <w:tblCellMar>
          <w:top w:w="28" w:type="dxa"/>
          <w:left w:w="28" w:type="dxa"/>
          <w:bottom w:w="28" w:type="dxa"/>
          <w:right w:w="28" w:type="dxa"/>
        </w:tblCellMar>
      </w:tblPr>
      <w:tblGrid>
        <w:gridCol w:w="916"/>
        <w:gridCol w:w="146"/>
        <w:gridCol w:w="211"/>
        <w:gridCol w:w="571"/>
        <w:gridCol w:w="146"/>
        <w:gridCol w:w="146"/>
        <w:gridCol w:w="146"/>
        <w:gridCol w:w="571"/>
        <w:gridCol w:w="271"/>
        <w:gridCol w:w="146"/>
        <w:gridCol w:w="211"/>
        <w:gridCol w:w="57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Supply chain gross margin increased $12.0 million, or 15.1%, in the third quarter of 2026, and increased $26.0 million, or 10.9%, in the three fiscal quarters of 2026. As a percentage of supply chain revenues, supply chain gross margin increased 0.9 and 0.5 percentage points in the third quarter and three fiscal quarters of 2026, respectively. These changes in gross margin as a percentage of revenues are discussed in additional detail below.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Food costs decreased 0.7 percentage points to 70.4% in the third quarter of 2026 and decreased 0.6 percentage points to 70.2% in the three fiscal quarters of 2026, each driven primarily by procurement productivity.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 costs decreased 0.5 percentage points to 8.4% in the third quarter of 2026 and decreased 0.2 percentage points to 8.7% in the three fiscal quarters of 2026, each primarily due to higher sales leverage and labor efficiency.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delivery expenses attributable to higher fuel cost partially offset these improvements in supply chain gross margin as a percentage of revenues in the respective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$0.6 million, or 0.6%, in the third quarter of 2026. General and administrative expenses increased $10.7 million, or 3.3%, in the three fiscal quarters of 2026 primarily due to expenses related to our Worldwide Rally, which takes place every two years, in the second quarter of 2026, as well as higher computer expenses, but these increases were partially offset by approximately $5 million in severance expenses associated with an organizational realignment that took place in the first quarter of 2025 that did not reoccur in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 Franchise Advertising Expenses</w:t>
      </w:r>
    </w:p>
    <w:p>
      <w:pPr>
        <w:pStyle w:val="TextBody"/>
        <w:bidi w:val="0"/>
        <w:jc w:val="left"/>
        <w:rPr>
          <w:rFonts w:ascii="Times New Roman" w:hAnsi="Times New Roman"/>
          <w:color w:val="000000"/>
          <w:sz w:val="20"/>
        </w:rPr>
      </w:pPr>
      <w:r>
        <w:rPr>
          <w:rFonts w:ascii="Times New Roman" w:hAnsi="Times New Roman"/>
          <w:color w:val="000000"/>
          <w:sz w:val="20"/>
        </w:rPr>
        <w:t>U.S. franchise advertising expenses decreased $3.0 million, or 2.3%, in the third quarter of 2026, and increased $6.3 million, or 1.6%, in the three fiscal quarters of 2026, consistent with the changes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Refranchising Gain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we refranchised 77 U.S. Company-owned stores in Virginia and Michigan for proceeds of $19.8 million. The pre-tax refranchising gain associated with the sale of the related assets and liabilities, including a $2.8 million reduction in goodwill, was $3.9 million and recorded in refranchising gain in our condensed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2025, we refranchised 36 U.S. Company-owned stores in Maryland for proceeds of $8.5 million. The pre-tax refranchising gain associated with the sale of the related assets and liabilities, including a $1.4 million reduction in goodwill, was $3.9 million and was recorded in refranchising gain in our condensed consolidated statements of income.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Gain on Sale of Assets</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we recorded a $7.8 million pre-tax realized gain associated with the sale of our fully depreciated corporate aircraft.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and three fiscal quarters of 2026, we recorded a $2.5 million and $20.9 million pre-tax unrealized loss, respectively, on our investment in DPC Dash (refer to Note 5 of the condensed consolidated financial statements). During the third quarter and three fiscal quarters of 2025, we recorded a total net $3.0 million pre-tax unrealized loss and a total net $5.0 million pre-tax realized and unrealized gain, respectively, on our investment in DPC Dash. The recorded amount of our investment is based on the active exchange quoted price for the equity 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Interest Expense,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net increased $3.2 million, or 7.8%, in the third quarter of 2026, and increased $8.9 million, or 7.2%, in the three fiscal quarters of 2026, primarily driven by lower interest income on our cash equivalents as well as a higher weighted average borrowing rate.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weighted average borrowing rate increased to 3.9% in the third quarter and three fiscal quarters of 2026 from 3.8% in the third quarter and three fiscal quarters of 2025.</w:t>
      </w:r>
    </w:p>
    <w:p>
      <w:pPr>
        <w:pStyle w:val="TextBody"/>
        <w:bidi w:val="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increased $3.0 million, or 7.6%, in the third quarter of 2026 due to higher income before provision for income taxes, partially offset by a lower effective tax rate. The effective tax rate decreased to 22.0% during the third quarter of 2026 compared to 22.3% in the third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increased $3.3 million, or 2.8%, in the three fiscal quarters of 2026 due to higher income before provision for income taxes, as well as a higher effective tax rate. The effective tax rate increased to 22.4% during the three fiscal quarters of 2026 compared to 22.2% in the three fiscal quarters of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Adjusted Income from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the first quarter of 2026, we evaluate the performance of our reportable segments and allocate resources to them based on Segment Adjusted Income from Operations, which represents income from operations for the reportable segments, excluding gains and losses from the sale of assets, refranchising gains and losses and certain corporate administrative costs that have not been allocated to a reportable segment. Our chief operating decision maker uses Segment Adjusted Income from Operations to determine future business objectives and targets and for long-range planning for the reportable segments, as well as to evaluate their operating performance. Segment Adjusted Income from Operations for each of our reportable segments is summarized in the table below. Prior year amounts have been recast to reflect this change in the measure of segment profit used by our chief operating decision maker.</w:t>
      </w:r>
    </w:p>
    <w:p>
      <w:pPr>
        <w:pStyle w:val="TextBody"/>
        <w:bidi w:val="0"/>
        <w:jc w:val="left"/>
        <w:rPr/>
      </w:pPr>
      <w:r>
        <w:rPr/>
        <w:t> </w:t>
      </w:r>
    </w:p>
    <w:tbl>
      <w:tblPr>
        <w:tblW w:w="9664" w:type="dxa"/>
        <w:jc w:val="left"/>
        <w:tblInd w:w="0" w:type="dxa"/>
        <w:tblLayout w:type="fixed"/>
        <w:tblCellMar>
          <w:top w:w="28" w:type="dxa"/>
          <w:left w:w="28" w:type="dxa"/>
          <w:bottom w:w="28" w:type="dxa"/>
          <w:right w:w="28" w:type="dxa"/>
        </w:tblCellMar>
      </w:tblPr>
      <w:tblGrid>
        <w:gridCol w:w="1951"/>
        <w:gridCol w:w="146"/>
        <w:gridCol w:w="311"/>
        <w:gridCol w:w="844"/>
        <w:gridCol w:w="346"/>
        <w:gridCol w:w="346"/>
        <w:gridCol w:w="311"/>
        <w:gridCol w:w="844"/>
        <w:gridCol w:w="146"/>
        <w:gridCol w:w="146"/>
        <w:gridCol w:w="457"/>
        <w:gridCol w:w="1238"/>
        <w:gridCol w:w="346"/>
        <w:gridCol w:w="346"/>
        <w:gridCol w:w="457"/>
        <w:gridCol w:w="12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franchise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U.S. Stores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stores Segment Adjusted Income from Operations increased $4.1 million, or 3.1%, in the third quarter of 2026, and increased $10.5 million, or 2.7%, in the three fiscal quarters of 2026, each driven primarily by higher U.S. franchise royalties and fees revenues, as discussed above. These increases were partially offset by the $6.2 million decrease in U.S. Company-owned store gross margin in the third quarter of 2026 and the $15.9 million decrease in U.S. Company-owned store gross margin in the three fiscal quarters of 2026, each as discussed above. Additionally, higher general and administrative expenses in the three fiscal quarters of 2026, primarily related to our Worldwide Rally in the second quarter of 2026, partially offset the increase in U.S. stores Segment Adjusted Income from Operations in the three fiscal quarters of 2026, as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franchise revenues do not have a cost of sales component, so changes in these revenues have a disproportionate effect on U.S. stores Segment Adjusted Income from Operations. U.S. franchise advertising costs are accrued and expensed when the related U.S. franchise advertising revenues are recognized and had no impact on U.S. stores Segment Adjusted Income from Operations.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Segment Adjusted Income from Operations increased $11.9 million, or 19.6%, in the third quarter of 2026, and increased $25.5 million, or 13.5%, in the three fiscal quarters of 2026, primarily due to the $12.0 million increase in supply chain gross margin in the third quarter of 2026 and the $26.0 million increase in supply chain gross margin in the three fiscal quarters of 2026, each as discussed above.</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International Franchise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franchise Segment Adjusted Income from Operations increased $4.5 million, or 6.7%, in the third quarter of 2026, and increased $13.2 million, or 6.7%, in the three fiscal quarters of 2026, each driven primarily by higher international franchise royalties and fees revenues, as discussed above. Higher general and administrative expenses in the three fiscal quarters of 2026, primarily related to our Worldwide Rally in the second quarter of 2026, partially offset the increase in international franchise Segment Adjusted Income from Operations, as discussed above. International franchise revenues do not have a cost of sales component, so changes in these revenues have a disproportionate effect on international franchise Segment Adjusted Income from Operations.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September 6, 2026, we had negative working capital totaling $1.13 billion, primarily due to the current portion of long-term debt (see discussion below, as well as Note 6 to the condensed consolidated financial statements). Our working capital amount excludes restricted cash and cash equivalents of $168.0 million, advertising fund assets, restricted, of $98.0 million and advertising fund liabilities of $96.6 million. Working capital includes total unrestricted cash and cash equivalents of $229.0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primary sources of liquidity are cash flows from operations and availability of borrowings under our variable funding notes. During the third quarter and three fiscal quarters of 2026, we experienced an increase in both U.S. and international retail sales (excluding foreign currency impact). Additionally, both our U.S. and international businesses grew store counts during the third quarter and three fiscal quarters of 2026. These factors contributed to our continued ability to generate positive operating cash flows. In addition to our cash flows from operations, we have a variable funding note facility. Our Series 2025-1 Variable Funding Senior Secured Notes, Class A-1 Notes (the “2025 Variable Funding Notes”), allows for advances of up to $320.0 million and issuance of certain other credit instruments, including letters of credit. The letters of credit primarily relate to our casualty insurance programs and, to a lesser extent, a virtual power purchase agreement. As of September 6, 2026, we had no outstanding borrowings and $248.9 million of available borrowing capacity under our 2025 Variable Funding Notes, net of letters of credit issued of $71.1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use our unrestricted cash and cash equivalents, cash flows from operations, any excess cash from our refinancing and recapitalization transactions and available borrowings under our 2025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primary sources of liquidity could be adversely affected by the occurrence of any of the events described under “Risk Factors” in our 2025 Form 10-K. There can be no assurance that our business will generate sufficient cash flows from operations or that future borrowings will be available under our 2025 Variable Funding Notes or otherwise to enable us to service our indebtedness, or to make anticipated capital expenditures. Our future operating performance and our ability to service, extend or refinance our notes and to service, extend or refinance our 2025 Variable Funding Notes will be subject to future economic conditions and to financial, business and other factors, many of which are beyond our control.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6, 2026, we had $118.0 million of restricted cash and cash equivalents held for future principal and interest payments and other working capital requirements of our asset-backed securitization structure, $49.8 million of restricted cash equivalents held in a three-month interest reserve as required by the indenture governing the securitized debt and $0.2 million of other restricted cash for a total of $168.0 million of restricted cash and cash equivalents. As of September 6, 2026, we also held $71.4 million of advertising fund restricted cash and cash equivalents which can only be used for activities that promote the Domino’s brand.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6, 2026, we had approximately $4.89 billion of long-term debt, of which $1.33 billion was classified as a current liability. As of September 6, 2026, our fixed rate notes from the recapitalization and refinancing transactions we completed in 2025, 2021, 2019, 2018 and 2017 had original scheduled principal payments of $49.3 million in 2026, $1.34 billion in 2027, $836.4 million in 2028, $647.8 million in 2029, $495.0 million in 2030, $927.5 million in 2031 and $470.0 million in 2032. However, in accordance with our debt agreements, the payment of principal on the 2025 Five-Year Notes and the 2025 Seven-Year Notes (refer to Note 5 to the condensed consolidated financial statements)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our debt agreements, the payment of principal on the 2021 7.5-Year Notes, 2021 Ten-Year Notes, 2019 Ten-Year Notes, 2018 9.25-Year Notes and 2017 Ten-Year Notes (refer to Note 5 to the condensed consolidated financial statements) may be suspended if the Holdco Leverage Ratio is less than or equal to 5.0x total debt to Consolidated Adjusted EBITDA, each as defined in the indenture governing the securitized debt, and no catch-up provisions are applicable. As of the end of the third quarter of 2026, we satisfied the non-amortization tests for each respective series of notes, and have classified the outstanding principal amounts of the 2025 Five-Year Notes, 2025 Seven-Year Notes, 2021 7.5-Year Notes, 2021 Ten-Year Notes and 2019 Ten-Year Notes as long-term debt in the condensed consolidated balance sheets as of September 6, 2026. As of the end of the fourth quarter of 2025, we satisfied the non-amortization tests for each respective series of notes, and accordingly, the outstanding principal amounts of the notes have been classified as long-term debt in the condensed consolidated balance sheets as of December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legal final maturity dates of the 2018 9.25-Year Notes and the 2017 Ten-Year Notes are July 2048 and October 2047, respectively. However, the anticipated repayment date for the 2018 9.25-Year Notes and the 2017 Ten-Year Notes is July 2027, and accordingly, the outstanding principal amounts for these notes have been classified as the current portion of long-term debt in the condensed consolidated balance sheet as of September 6, 2026 (refer to Note 6 to the condensed consolidated financial statements). We expect to refinance the 2018 9.25-Year Notes and the 2017 Ten-Year Notes prior to the anticipated repayment date, and we expect, based on current benchmark rates, to refinance those notes at higher interest rates. If we do not repay or refinance the 2018 9.25-Year Notes and the 2017 Ten-Year Notes prior to the anticipated repayment date, additional interest of at least 5% per annum will accrue, and our securitized cash flows other than a weekly management fee to cover certain operating expenses would be directed to the repayment of the securitized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share repurchase programs have historically been funded by excess operating cash flows, excess proceeds from our recapitalization transactions and borrowings under our variable funding notes.</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and three fiscal quarters of 2026, we repurchased and retired 216,282 and 848,503 shares of our common stock under our Board of Directors–approved share repurchase program for a total of approximately $73.6 million and $304.9 million, respectively. As of September 6, 2026, we had a total remaining authorized amount for share repurchases of approximately $1.15 billion.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14, 2026, our Board of Directors declared a $1.99 per share quarterly dividend on our outstanding common stock for shareholders of record as of September 15, 2026, which was paid on September 30, 2026. We had approximately $67.6 million accrued for common stock dividends at September 6, 2026. Subsequent to the end of the third quarter of 2026, on October 6, 2026, our Board of Directors declared a $1.99 per share quarterly dividend on our outstanding common stock for shareholders of record as of December 15, 2026, to be paid on December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Sources and Uses of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illustrates the main components of our cash flows:</w:t>
      </w:r>
    </w:p>
    <w:tbl>
      <w:tblPr>
        <w:tblW w:w="10150" w:type="dxa"/>
        <w:jc w:val="left"/>
        <w:tblInd w:w="0" w:type="dxa"/>
        <w:tblLayout w:type="fixed"/>
        <w:tblCellMar>
          <w:top w:w="28" w:type="dxa"/>
          <w:left w:w="28" w:type="dxa"/>
          <w:bottom w:w="28" w:type="dxa"/>
          <w:right w:w="28" w:type="dxa"/>
        </w:tblCellMar>
      </w:tblPr>
      <w:tblGrid>
        <w:gridCol w:w="6091"/>
        <w:gridCol w:w="146"/>
        <w:gridCol w:w="425"/>
        <w:gridCol w:w="1270"/>
        <w:gridCol w:w="166"/>
        <w:gridCol w:w="146"/>
        <w:gridCol w:w="425"/>
        <w:gridCol w:w="1270"/>
        <w:gridCol w:w="21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br/>
              <w:t>of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decreased $31.7 million in the three fiscal quarters of 2026, as a result of the negative impact of changes in restricted advertising fund assets and liabilities and changes in operating assets and liabilities. The $47.8 million negative impact of changes in restricted advertising fund assets and liabilities in the three fiscal quarters of 2026 compared to the three fiscal quarters of 2025 was the result of the timing and amount of payments for advertising activities. Additionally, the negative impact of changes in operating assets and liabilities of $13.7 million primarily related to the timing of payments on accounts payable and accrued liabilities in the three fiscal quarters of 2026 compared to the three fiscal quarters of 2025. These decreases were partially offset by higher net income, excluding non-cash adjustments. Net income increased $7.7 million, and non-cash adjustments increased $22.1 million (primarily representing the changes in the total net realized and unrealized losses and gains associated with the remeasurement of the Company’s investment in DPC Dash, partially offset by the pre-tax realized gain associated with the sale of our fully depreciated corporate aircraft), resulting in an overall increase to cash provided by operating activities in the three fiscal quarters of 2026 compared to the three fiscal quarters of 2025 of $29.8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$34.2 million in the three fiscal quarters of 2026, which primarily consisted of $60.8 million of capital expenditures (driven primarily by investments in consumer and store technology, supply chain centers and corporate store operations). This use of cash was partially offset by the proceeds of $19.8 million for the refranchising of 77 U.S. Company-owned stores in the Virginia and Michigan markets and the net proceeds of $7.8 million associated with the sale of our fully depreciated corporate aircraft.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financing activities was $451.7 million in the three fiscal quarters of 2026, which included the repurchase and retirement of $304.9 million in common stock under our Board of Directors–approved share repurchase program, as well as $3.3 million in excise tax payments related to our share repurchase programs. We also made dividend payments to our shareholders of $134.3 million, made tax payments for the vesting of restricted stock of $14.2 million and made repayments of principal amounts related to our finance leases and other financing obligations of $4.1 million. These uses of cash were partially offset by proceeds from the exercise of stock options of $9.2 million.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description of the Company’s critical accounting estimates, refer to “Part II—Item 7—Management’s Discussion and Analysis of Financial Condition and Results of Operations” in the 2025 Form 10-K. The Company considers its most significant accounting policies and estimates to be long-lived assets, casualty insurance reserves and income taxes. There have been no material changes to the Company’s critical accounting estimates since December 28, 2025.</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filing contains various forward-looking statements about the Company within the meaning of the Private Securities Litigation Reform Act of 1995 (the “Act”) that are based on current management expectations that involve substantial risks and uncertainties that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“aims,”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that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2025 Form 10-K for the fiscal year ended December 28, 2025. Actual results may differ materially from those expressed or implied in the forward-looking statements as a result of various factors, including but not limited to: our substantial indebtedness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additional risks our international operations subject us to, which may differ in each country in which we and our franchisees do business; the dependence of our earnings and business growth strategy on the success of our franchisees; our ability and that of our franchisees to successfully operate in the current and future credit environment; the impact of social media, the rise of artificial intelligence–generated content, or a boycott on our business, brand and reputation; the impact of new or improved technologies, including artificial intelligence,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or regulation,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3_quantitative"/>
      <w:bookmarkEnd w:id="9"/>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engage in speculative transactions, nor do we hold or issue financial instruments for trading purposes. In connection with the refinancings and recapitalizations of our business, we have issued fixed rate notes and entered into variable funding notes, and, at September 6, 2026, we are exposed to interest rate risk on borrowings under our 2025 Variable Funding Notes. As of September 6, 2026, we had no outstanding borrowings under our 2025 Variable Funding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2025 Variable Funding Notes bear interest at fluctuating interest rates based on the Secured Overnight Financing Rate, plus a spread adjustment. Accordingly, a rising interest rate environment could result in higher interest expense due on borrowings under our 2025 Variable Funding Notes, in which event we may have difficulties making interest payments and funding our other fixed costs, and our available cash flow for general corporate requirements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fixed-rate debt exposes us to changes in market interest rates reflected in the fair value of the debt and to the risk that the Company may need to refinance maturing debt with new debt at a higher rate. As of September 6, 2026, we had approximately $1.32 billion of debt classified as current associated with our 2018 9.25-Year Notes and the 2017 Ten-Year Notes for which the anticipated repayment date is July 2027. We expect to refinance the 2018 9.25-Year Notes and the 2017 Ten-Year Notes prior to the anticipated repayment date, and we expect, based on current benchmark rates, to refinance those notes at higher interest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In instances when we use fixed pricing agreements with our suppliers, these agreements cover our physical commodity needs, are not net-settled and are accounted for as normal purchases.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exposure to various foreign currency exchange rate fluctuations for revenues generated by our operations outside the U.S., which can adversely impact our net income and cash flows. Approximately 7.1% of our total revenues in the third quarter of 2026, approximately 7.0% of our total revenues in the three fiscal quarters of 2026 and approximately 6.8% of our total revenues in both the third quarter and three fiscal quarters of 2025 were derived from our international franchise segment, a majority of which were denominated in foreign currencies. We estimate that a hypothetical 10% adverse change in the foreign currency rates for our international markets would have resulted in a negative impact on international franchise royalty revenues of approximately $24.2 million in the three fiscal quarters of 2026. We also operate dough manufacturing and distribution facilities in Canada, which generate revenues denominated in Canadian dollars. We may periodically enter into financial instruments to manage foreign currency exchange risk, although we have not done so historically. </w:t>
      </w:r>
    </w:p>
    <w:p>
      <w:pPr>
        <w:pStyle w:val="TextBody"/>
        <w:bidi w:val="0"/>
        <w:spacing w:before="200" w:after="283"/>
        <w:jc w:val="left"/>
        <w:rPr>
          <w:rFonts w:ascii="Times New Roman" w:hAnsi="Times New Roman"/>
          <w:sz w:val="20"/>
        </w:rPr>
      </w:pPr>
      <w:bookmarkStart w:id="10" w:name="item_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with the participation of the Company’s Chief Executive Officer, Joseph H. Jordan,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Jordan and Mr. Reddy concluded that the Company’s disclosure controls and procedures were effective.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quarterly period ended September 6, 2026, there were no changes in the Company’s internal control over financial reporting as defined in Rules 13a-15(f) and 15d-15(f) that have materially affected or are reasonably likely to materially affect the Company’s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_other_information"/>
      <w:bookmarkEnd w:id="11"/>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2" w:name="item_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with respect to those risk factors previously disclosed in Item 1A “Risk Factors” in Part I of our 2025 Form 10-K.</w:t>
      </w:r>
    </w:p>
    <w:p>
      <w:pPr>
        <w:pStyle w:val="TextBody"/>
        <w:bidi w:val="0"/>
        <w:jc w:val="both"/>
        <w:rPr/>
      </w:pPr>
      <w:r>
        <w:rPr/>
        <w:t> </w:t>
      </w:r>
    </w:p>
    <w:p>
      <w:pPr>
        <w:pStyle w:val="TextBody"/>
        <w:bidi w:val="0"/>
        <w:jc w:val="left"/>
        <w:rPr>
          <w:rFonts w:ascii="Times New Roman" w:hAnsi="Times New Roman"/>
          <w:sz w:val="20"/>
        </w:rPr>
      </w:pPr>
      <w:bookmarkStart w:id="14" w:name="item_2_unregistered"/>
      <w:bookmarkEnd w:id="14"/>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Purchases of Equity Securities by the Issuer and Affiliated Purchasers.</w:t>
      </w:r>
    </w:p>
    <w:p>
      <w:pPr>
        <w:pStyle w:val="TextBody"/>
        <w:bidi w:val="0"/>
        <w:jc w:val="left"/>
        <w:rPr/>
      </w:pPr>
      <w:r>
        <w:rPr/>
        <w:t> </w:t>
      </w:r>
    </w:p>
    <w:p>
      <w:pPr>
        <w:pStyle w:val="TextBody"/>
        <w:bidi w:val="0"/>
        <w:jc w:val="left"/>
        <w:rPr/>
      </w:pPr>
      <w:r>
        <w:rPr/>
        <w:t> </w:t>
      </w:r>
    </w:p>
    <w:tbl>
      <w:tblPr>
        <w:tblW w:w="9839" w:type="dxa"/>
        <w:jc w:val="left"/>
        <w:tblInd w:w="0" w:type="dxa"/>
        <w:tblLayout w:type="fixed"/>
        <w:tblCellMar>
          <w:top w:w="28" w:type="dxa"/>
          <w:left w:w="28" w:type="dxa"/>
          <w:bottom w:w="28" w:type="dxa"/>
          <w:right w:w="28" w:type="dxa"/>
        </w:tblCellMar>
      </w:tblPr>
      <w:tblGrid>
        <w:gridCol w:w="2356"/>
        <w:gridCol w:w="146"/>
        <w:gridCol w:w="177"/>
        <w:gridCol w:w="948"/>
        <w:gridCol w:w="146"/>
        <w:gridCol w:w="146"/>
        <w:gridCol w:w="360"/>
        <w:gridCol w:w="1155"/>
        <w:gridCol w:w="146"/>
        <w:gridCol w:w="146"/>
        <w:gridCol w:w="290"/>
        <w:gridCol w:w="1555"/>
        <w:gridCol w:w="146"/>
        <w:gridCol w:w="146"/>
        <w:gridCol w:w="328"/>
        <w:gridCol w:w="1457"/>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Approximate Dollar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Shares that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as Part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Yet Be Purchased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Publicly Announced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 the Program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#7 (June 15, 2026</w:t>
              <w:br/>
              <w:t>   to July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#8 (July 13, 2026</w:t>
              <w:br/>
              <w:t>   to August 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#9 (August 10, 2026</w:t>
              <w:br/>
              <w:t>   to September 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
        <w:gridCol w:w="9891"/>
      </w:tblGrid>
      <w:tr>
        <w:trPr/>
        <w:tc>
          <w:tcPr>
            <w:tcW w:w="314" w:type="dxa"/>
            <w:tcBorders/>
            <w:vAlign w:val="center"/>
          </w:tcPr>
          <w:p>
            <w:pPr>
              <w:pStyle w:val="TableContents"/>
              <w:bidi w:val="0"/>
              <w:spacing w:before="0" w:after="283"/>
              <w:jc w:val="left"/>
              <w:rPr>
                <w:sz w:val="4"/>
                <w:szCs w:val="4"/>
              </w:rPr>
            </w:pPr>
            <w:r>
              <w:rPr>
                <w:sz w:val="4"/>
                <w:szCs w:val="4"/>
              </w:rPr>
            </w:r>
          </w:p>
        </w:tc>
        <w:tc>
          <w:tcPr>
            <w:tcW w:w="9891" w:type="dxa"/>
            <w:tcBorders/>
            <w:vAlign w:val="center"/>
          </w:tcPr>
          <w:p>
            <w:pPr>
              <w:pStyle w:val="TableContents"/>
              <w:bidi w:val="0"/>
              <w:spacing w:before="0" w:after="283"/>
              <w:jc w:val="left"/>
              <w:rPr>
                <w:sz w:val="4"/>
                <w:szCs w:val="4"/>
              </w:rPr>
            </w:pPr>
            <w:r>
              <w:rPr>
                <w:sz w:val="4"/>
                <w:szCs w:val="4"/>
              </w:rPr>
            </w:r>
          </w:p>
        </w:tc>
      </w:tr>
      <w:tr>
        <w:trPr/>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(1) </w:t>
            </w:r>
          </w:p>
        </w:tc>
        <w:tc>
          <w:tcPr>
            <w:tcW w:w="98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7"/>
              </w:rPr>
            </w:pPr>
            <w:r>
              <w:rPr>
                <w:rFonts w:ascii="Times New Roman" w:hAnsi="Times New Roman"/>
                <w:color w:val="000000"/>
                <w:sz w:val="17"/>
              </w:rPr>
              <w:t>4,544 shares in the third quarter of 2026 were purchased as part of the Company’s employee stock payroll deduction plan at an average price of $336.09.</w:t>
            </w:r>
          </w:p>
          <w:p>
            <w:pPr>
              <w:pStyle w:val="TableContents"/>
              <w:bidi w:val="0"/>
              <w:spacing w:before="0" w:after="283"/>
              <w:jc w:val="left"/>
              <w:rPr/>
            </w:pPr>
            <w:r>
              <w:rPr/>
              <w:t> </w:t>
            </w:r>
          </w:p>
        </w:tc>
      </w:tr>
      <w:tr>
        <w:trPr/>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w:t>
            </w:r>
          </w:p>
        </w:tc>
        <w:tc>
          <w:tcPr>
            <w:tcW w:w="98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7"/>
              </w:rPr>
            </w:pPr>
            <w:r>
              <w:rPr>
                <w:rFonts w:ascii="Times New Roman" w:hAnsi="Times New Roman"/>
                <w:color w:val="000000"/>
                <w:sz w:val="17"/>
              </w:rPr>
              <w:t>As of September 6, 2026, $1.15 billion remained available for future purchases of the Company’s common stock under the share repurchase program approved by our Board of Directors on April 21, 2026 for repurchases of shares of our common stock.</w:t>
            </w:r>
          </w:p>
          <w:p>
            <w:pPr>
              <w:pStyle w:val="TableContents"/>
              <w:bidi w:val="0"/>
              <w:spacing w:before="0" w:after="283"/>
              <w:jc w:val="left"/>
              <w:rPr/>
            </w:pPr>
            <w:r>
              <w:rPr/>
              <w:t> </w:t>
            </w:r>
          </w:p>
        </w:tc>
      </w:tr>
      <w:tr>
        <w:trPr/>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9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tc>
      </w:tr>
    </w:tbl>
    <w:p>
      <w:pPr>
        <w:pStyle w:val="TextBody"/>
        <w:bidi w:val="0"/>
        <w:jc w:val="left"/>
        <w:rPr/>
      </w:pPr>
      <w:r>
        <w:rPr/>
        <w:t> </w:t>
      </w:r>
    </w:p>
    <w:p>
      <w:pPr>
        <w:pStyle w:val="TextBody"/>
        <w:bidi w:val="0"/>
        <w:jc w:val="left"/>
        <w:rPr>
          <w:rFonts w:ascii="Times New Roman" w:hAnsi="Times New Roman"/>
          <w:sz w:val="20"/>
        </w:rPr>
      </w:pPr>
      <w:bookmarkStart w:id="15" w:name="item_3_defaults"/>
      <w:bookmarkEnd w:id="15"/>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6" w:name="item_4_min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and officers (as defined in Section 16 of the Exchange Act (“Section 16”)) may from time to time enter into plans for the purchase or sale of Domino’s stock that are intended to satisfy the affirmative defense conditions of Rule 10b5-1(c)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September 6, 2026, the following Section 16 officer adopted a “Rule 10b5-1 trading arrangement” (as defined in Item 408 under Regulation S-K of the Exchange Act):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Joseph H. Jordan, then our Chief Operating Officer and President – U.S., adopted a new Rule 10b5-1 trading arrangement on July 29, 2026. The plan’s maximum duration is until July 20, 2027, and first trades will not occur until November 9, 2026 at the earliest. The trading plan, which is subject to certain conditions, is intended to permit Mr. Jordan to exercise and sell from time to time a total of 2,450 stock options in a tranche set to expire on July 19,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Rule 10b5-1 trading arrangement described above was adopted and precleared in accordance with Domino’s Insider Trading Policy and actual sale transactions made pursuant to such trading arrangement will be disclosed publicly in future Section 16 filings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directors or officers adopted, modified and/or terminated a “Rule 10b5-1 trading arrangement” or a “non-Rule 10b5-1 trading arrangement,” as defined in Item 408 under Regulation S-K of the Exchange Act, during the last fiscal quarter.</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1"/>
        <w:gridCol w:w="146"/>
        <w:gridCol w:w="9278"/>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8"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7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Employment Agreement dated as of June 19, 2026 by and between Domino’s Pizza, Inc. and Joseph H. Jordan (Incorporated by reference to Exhibit 10.1 to the registrant’s Form 8-K filed on June 22, 2026 (the “June 2026 8-K”)).</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Letter Agreement dated as of June 19, 2026 by and between Domino’s Pizza, Inc. and Russell J. Weiner (Incorporated by reference to Exhibit 10.2 to the June 2026 8-K).</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dpz-ex31_1.htm">
              <w:r>
                <w:rPr>
                  <w:rStyle w:val="InternetLink"/>
                  <w:rFonts w:ascii="Times New Roman" w:hAnsi="Times New Roman"/>
                  <w:color w:val="0000FF"/>
                  <w:sz w:val="20"/>
                  <w:u w:val="single"/>
                </w:rPr>
                <w:t>Certification of Chief Executive Officer pursuant to Section 302 of the Sarbanes-Oxley Act of 2002, relating to Domino’s Pizza, Inc.</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dpz-ex31_2.htm">
              <w:r>
                <w:rPr>
                  <w:rStyle w:val="InternetLink"/>
                  <w:rFonts w:ascii="Times New Roman" w:hAnsi="Times New Roman"/>
                  <w:color w:val="0000FF"/>
                  <w:sz w:val="20"/>
                  <w:u w:val="single"/>
                </w:rPr>
                <w:t>Certification of Chief Financial Officer pursuant to Section 302 of the Sarbanes-Oxley Act of 2002, relating to Domino’s Pizza, Inc.</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dpz-ex32_1.htm">
              <w:r>
                <w:rPr>
                  <w:rStyle w:val="InternetLink"/>
                  <w:rFonts w:ascii="Times New Roman" w:hAnsi="Times New Roman"/>
                  <w:color w:val="0000FF"/>
                  <w:sz w:val="20"/>
                  <w:u w:val="single"/>
                </w:rPr>
                <w:t>Certification of Chief Executive Officer pursuant to Section 1350, Chapter 63 of Title 18, United States Code, as adopted pursuant to Section 906 of the Sarbanes-Oxley Act of 2002, relating to Domino’s Pizza, Inc.</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dpz-ex32_2.htm">
              <w:r>
                <w:rPr>
                  <w:rStyle w:val="InternetLink"/>
                  <w:rFonts w:ascii="Times New Roman" w:hAnsi="Times New Roman"/>
                  <w:color w:val="0000FF"/>
                  <w:sz w:val="20"/>
                  <w:u w:val="single"/>
                </w:rPr>
                <w:t>Certification of Chief Financial Officer pursuant to Section 1350, Chapter 63 of Title 18, United States Code, as adopted pursuant to Section 906 of the Sarbanes-Oxley Act of 2002, relating to Domino’s Pizza, Inc.</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298" w:type="dxa"/>
        <w:jc w:val="left"/>
        <w:tblInd w:w="0" w:type="dxa"/>
        <w:tblLayout w:type="fixed"/>
        <w:tblCellMar>
          <w:top w:w="28" w:type="dxa"/>
          <w:left w:w="28" w:type="dxa"/>
          <w:bottom w:w="28" w:type="dxa"/>
          <w:right w:w="28" w:type="dxa"/>
        </w:tblCellMar>
      </w:tblPr>
      <w:tblGrid>
        <w:gridCol w:w="2011"/>
        <w:gridCol w:w="146"/>
        <w:gridCol w:w="414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DOMINO’S PIZZA, INC.</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(Registrant)</w:t>
            </w:r>
          </w:p>
        </w:tc>
      </w:tr>
      <w:tr>
        <w:trPr/>
        <w:tc>
          <w:tcPr>
            <w:tcW w:w="201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October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0" w:name="dpz-ex31_1.htm"/>
      <w:bookmarkStart w:id="21" w:name="ksdpzex31_1"/>
      <w:bookmarkEnd w:id="20"/>
      <w:bookmarkEnd w:id="21"/>
      <w:r>
        <w:rPr>
          <w:rFonts w:ascii="Times New Roman" w:hAnsi="Times New Roman"/>
          <w:b/>
          <w:color w:val="000000"/>
          <w:sz w:val="20"/>
        </w:rPr>
        <w:t>Exhibit 31.1</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CHIEF EXECUTIVE OFFICER OF DOMINO’S PIZZA,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 Joseph H. Jordan, certify that:</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 have reviewed this quarterly report on Form 10-Q of Domino’s Pizza, Inc.;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048" w:type="dxa"/>
        <w:jc w:val="left"/>
        <w:tblInd w:w="0" w:type="dxa"/>
        <w:tblLayout w:type="fixed"/>
        <w:tblCellMar>
          <w:top w:w="28" w:type="dxa"/>
          <w:left w:w="28" w:type="dxa"/>
          <w:bottom w:w="28" w:type="dxa"/>
          <w:right w:w="28" w:type="dxa"/>
        </w:tblCellMar>
      </w:tblPr>
      <w:tblGrid>
        <w:gridCol w:w="1531"/>
        <w:gridCol w:w="146"/>
        <w:gridCol w:w="23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13,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Joseph H. Jordan</w:t>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Joseph H. Jordan</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2" w:name="dpz-ex31_2.htm"/>
      <w:bookmarkStart w:id="23" w:name="ksdpzex31_2"/>
      <w:bookmarkEnd w:id="22"/>
      <w:bookmarkEnd w:id="23"/>
      <w:r>
        <w:rPr>
          <w:rFonts w:ascii="Times New Roman" w:hAnsi="Times New Roman"/>
          <w:b/>
          <w:color w:val="000000"/>
          <w:sz w:val="20"/>
        </w:rPr>
        <w:t>Exhibit 31.2</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CHIEF FINANCIAL OFFICER OF DOMINO’S PIZZA,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 Sandeep Reddy, certify that:</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 have reviewed this quarterly report on Form 10-Q of Domino’s Pizza, Inc.;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73" w:type="dxa"/>
        <w:jc w:val="left"/>
        <w:tblInd w:w="0" w:type="dxa"/>
        <w:tblLayout w:type="fixed"/>
        <w:tblCellMar>
          <w:top w:w="28" w:type="dxa"/>
          <w:left w:w="28" w:type="dxa"/>
          <w:bottom w:w="28" w:type="dxa"/>
          <w:right w:w="28" w:type="dxa"/>
        </w:tblCellMar>
      </w:tblPr>
      <w:tblGrid>
        <w:gridCol w:w="1531"/>
        <w:gridCol w:w="146"/>
        <w:gridCol w:w="2296"/>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13,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Sandeep Reddy</w:t>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Sandeep Reddy</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4" w:name="dpz-ex32_1.htm"/>
      <w:bookmarkStart w:id="25" w:name="ksdpzex32_1"/>
      <w:bookmarkEnd w:id="24"/>
      <w:bookmarkEnd w:id="25"/>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sz w:val="24"/>
        </w:rPr>
      </w:pPr>
      <w:r>
        <w:rPr>
          <w:rFonts w:ascii="Times New Roman" w:hAnsi="Times New Roman"/>
          <w:b/>
          <w:color w:val="000000"/>
          <w:sz w:val="24"/>
        </w:rPr>
        <w:t>CERTIFICATION PURSUANT TO</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w:t>
      </w:r>
    </w:p>
    <w:p>
      <w:pPr>
        <w:pStyle w:val="TextBody"/>
        <w:bidi w:val="0"/>
        <w:jc w:val="center"/>
        <w:rPr>
          <w:rFonts w:ascii="Times New Roman" w:hAnsi="Times New Roman"/>
          <w:sz w:val="24"/>
        </w:rPr>
      </w:pPr>
      <w:r>
        <w:rPr>
          <w:rFonts w:ascii="Times New Roman" w:hAnsi="Times New Roman"/>
          <w:b/>
          <w:color w:val="000000"/>
          <w:sz w:val="24"/>
        </w:rPr>
        <w:t>AS ADOPTED PURSUANT TO</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connection with the Quarterly Report of Domino’s Pizza, Inc. (the “Company”) on Form 10-Q for the period ended September 6, 2026, as filed with the Securities and Exchange Commission (the “Report”), I, Joseph H. Jordan, Chief Executive Officer of the Company, certify, pursuant to 18 U.S.C. § 1350, adopted pursuant to §906 of the Sarbanes-Oxley Act of 2002, that based on my knowledge:</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Joseph H. Jordan</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Joseph H. Jordan</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October 13,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6" w:name="dpz-ex32_2.htm"/>
      <w:bookmarkStart w:id="27" w:name="ksdpzex32_2"/>
      <w:bookmarkEnd w:id="26"/>
      <w:bookmarkEnd w:id="27"/>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sz w:val="24"/>
        </w:rPr>
      </w:pPr>
      <w:r>
        <w:rPr>
          <w:rFonts w:ascii="Times New Roman" w:hAnsi="Times New Roman"/>
          <w:b/>
          <w:color w:val="000000"/>
          <w:sz w:val="24"/>
        </w:rPr>
        <w:t>CERTIFICATION PURSUANT TO</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w:t>
      </w:r>
    </w:p>
    <w:p>
      <w:pPr>
        <w:pStyle w:val="TextBody"/>
        <w:bidi w:val="0"/>
        <w:jc w:val="center"/>
        <w:rPr>
          <w:rFonts w:ascii="Times New Roman" w:hAnsi="Times New Roman"/>
          <w:sz w:val="24"/>
        </w:rPr>
      </w:pPr>
      <w:r>
        <w:rPr>
          <w:rFonts w:ascii="Times New Roman" w:hAnsi="Times New Roman"/>
          <w:b/>
          <w:color w:val="000000"/>
          <w:sz w:val="24"/>
        </w:rPr>
        <w:t>AS ADOPTED PURSUANT TO</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connection with the Quarterly Report of Domino’s Pizza, Inc. (the “Company”) on Form 10-Q for the period ended September 6, 2026, as filed with the Securities and Exchange Commission (the “Report”), I, Sandeep Reddy, Chief Financial Officer of the Company, certify, pursuant to 18 U.S.C. § 1350, adopted pursuant to §906 of the Sarbanes-Oxley Act of 2002, that based on my knowledge:</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Sandeep Reddy</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Sandeep Reddy</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October 13,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6681/000119312526277510/d50178dex101.htm" TargetMode="External"/><Relationship Id="rId3" Type="http://schemas.openxmlformats.org/officeDocument/2006/relationships/hyperlink" Target="https://www.sec.gov/Archives/edgar/data/1286681/000119312526277510/d50178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18668</Words>
  <Characters>102838</Characters>
  <CharactersWithSpaces>123512</CharactersWithSpaces>
  <Paragraphs>7512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